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hd w:val="clear" w:color="auto" w:fill="E8772E"/>
        <w:spacing w:after="0"/>
      </w:pPr>
      <w:r>
        <w:rPr>
          <w:sz w:val="8"/>
        </w:rPr>
        <w:t xml:space="preserve"> </w:t>
      </w:r>
    </w:p>
    <w:p>
      <w:pPr>
        <w:shd w:val="clear" w:color="auto" w:fill="0E2A47"/>
        <w:spacing w:before="0" w:after="0"/>
        <w:ind w:left="113"/>
      </w:pPr>
      <w:r>
        <w:rPr>
          <w:b/>
          <w:i w:val="0"/>
          <w:color w:val="FFFFFF"/>
          <w:sz w:val="32"/>
        </w:rPr>
        <w:t>T10 Weekly Owner Report</w:t>
      </w:r>
    </w:p>
    <w:p>
      <w:pPr>
        <w:shd w:val="clear" w:color="auto" w:fill="143A61"/>
        <w:spacing w:before="0" w:after="0"/>
        <w:ind w:left="113"/>
      </w:pPr>
      <w:r>
        <w:rPr>
          <w:b w:val="0"/>
          <w:i/>
          <w:color w:val="FFFFFF"/>
          <w:sz w:val="18"/>
        </w:rPr>
        <w:t>Superyacht Project Management | Free PM Templates &amp; Documents for Yacht and Shipyard Projects</w:t>
      </w:r>
    </w:p>
    <w:p>
      <w:pPr>
        <w:spacing w:after="40"/>
      </w:pPr>
    </w:p>
    <w:p>
      <w:r>
        <w:rPr>
          <w:color w:val="64748B"/>
          <w:sz w:val="18"/>
        </w:rPr>
        <w:t>Companion to the lesson 'Measuring Progress and Writing the Weekly Owner Report' (Superyacht Project Management series, project2-me.com). Use it together with the Physical Progress Calculator (T10, xlsx).</w:t>
      </w:r>
    </w:p>
    <w:p>
      <w:pPr>
        <w:pStyle w:val="Heading1"/>
      </w:pPr>
      <w:r>
        <w:t>How to use this template</w:t>
      </w:r>
    </w:p>
    <w:p>
      <w:pPr>
        <w:pStyle w:val="ListBullet"/>
      </w:pPr>
      <w:r>
        <w:t>Part A is the blank report. Page 1 is the front sheet: keep it to one page so the Owner can read it in five minutes.</w:t>
      </w:r>
    </w:p>
    <w:p>
      <w:pPr>
        <w:pStyle w:val="ListBullet"/>
      </w:pPr>
      <w:r>
        <w:t>Agree the traffic-light rules (Part C) with the Owner before the first report. Rate each dimension against the rules, never by feel, and never average colours.</w:t>
      </w:r>
    </w:p>
    <w:p>
      <w:pPr>
        <w:pStyle w:val="ListBullet"/>
      </w:pPr>
      <w:r>
        <w:t>Decisions required from the Owner always appear on page 1, even when there are none. Each needs a 'needed by' date taken from the schedule and a line on what moves if it is late.</w:t>
      </w:r>
    </w:p>
    <w:p>
      <w:pPr>
        <w:pStyle w:val="ListBullet"/>
      </w:pPr>
      <w:r>
        <w:t>Physical progress is measured monthly with the calculator. In the weeks between, report movement on the few critical items only.</w:t>
      </w:r>
    </w:p>
    <w:p>
      <w:pPr>
        <w:pStyle w:val="ListBullet"/>
      </w:pPr>
      <w:r>
        <w:t>Every fact in the report should already have been discussed with the Yard at the weekly site meeting. The report is the Owner's document; the assessment stays owner-side.</w:t>
      </w:r>
    </w:p>
    <w:p>
      <w:pPr>
        <w:pStyle w:val="ListBullet"/>
      </w:pPr>
      <w:r>
        <w:t>Part B shows a completed example for the fictional yacht YP-48 at week 61 (month 14).</w:t>
      </w:r>
    </w:p>
    <w:p>
      <w:r>
        <w:br w:type="page"/>
      </w:r>
    </w:p>
    <w:p>
      <w:pPr>
        <w:pStyle w:val="Heading1"/>
      </w:pPr>
      <w:r>
        <w:t>Part A: Weekly Owner Report (Blank)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3118"/>
        <w:gridCol w:w="1814"/>
        <w:gridCol w:w="3118"/>
      </w:tblGrid>
      <w:tr>
        <w:trPr>
          <w:tblHeader w:val="true"/>
        </w:trPr>
        <w:tc>
          <w:tcPr>
            <w:tcW w:type="dxa" w:w="1814"/>
            <w:shd w:val="clear" w:color="auto" w:fill="0E2A47"/>
          </w:tcPr>
          <w:p>
            <w:r/>
            <w:r>
              <w:rPr>
                <w:b/>
                <w:color w:val="FFFFFF"/>
                <w:sz w:val="17"/>
              </w:rPr>
              <w:t>Field</w:t>
            </w:r>
          </w:p>
        </w:tc>
        <w:tc>
          <w:tcPr>
            <w:tcW w:type="dxa" w:w="3118"/>
            <w:shd w:val="clear" w:color="auto" w:fill="0E2A47"/>
          </w:tcPr>
          <w:p>
            <w:r/>
            <w:r>
              <w:rPr>
                <w:b/>
                <w:color w:val="FFFFFF"/>
                <w:sz w:val="17"/>
              </w:rPr>
              <w:t>Entry</w:t>
            </w:r>
          </w:p>
        </w:tc>
        <w:tc>
          <w:tcPr>
            <w:tcW w:type="dxa" w:w="1814"/>
            <w:shd w:val="clear" w:color="auto" w:fill="0E2A47"/>
          </w:tcPr>
          <w:p>
            <w:r/>
            <w:r>
              <w:rPr>
                <w:b/>
                <w:color w:val="FFFFFF"/>
                <w:sz w:val="17"/>
              </w:rPr>
              <w:t>Field</w:t>
            </w:r>
          </w:p>
        </w:tc>
        <w:tc>
          <w:tcPr>
            <w:tcW w:type="dxa" w:w="3118"/>
            <w:shd w:val="clear" w:color="auto" w:fill="0E2A47"/>
          </w:tcPr>
          <w:p>
            <w:r/>
            <w:r>
              <w:rPr>
                <w:b/>
                <w:color w:val="FFFFFF"/>
                <w:sz w:val="17"/>
              </w:rPr>
              <w:t>Entry</w:t>
            </w:r>
          </w:p>
        </w:tc>
      </w:tr>
      <w:tr>
        <w:tc>
          <w:tcPr>
            <w:tcW w:type="dxa" w:w="1814"/>
          </w:tcPr>
          <w:p>
            <w:r/>
            <w:r>
              <w:rPr>
                <w:sz w:val="17"/>
              </w:rPr>
              <w:t>Project</w:t>
            </w:r>
          </w:p>
        </w:tc>
        <w:tc>
          <w:tcPr>
            <w:tcW w:type="dxa" w:w="3118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814"/>
          </w:tcPr>
          <w:p>
            <w:r/>
            <w:r>
              <w:rPr>
                <w:sz w:val="17"/>
              </w:rPr>
              <w:t>Report no.</w:t>
            </w:r>
          </w:p>
        </w:tc>
        <w:tc>
          <w:tcPr>
            <w:tcW w:type="dxa" w:w="3118"/>
          </w:tcPr>
          <w:p>
            <w:r/>
            <w:r>
              <w:rPr>
                <w:sz w:val="17"/>
              </w:rPr>
            </w:r>
          </w:p>
        </w:tc>
      </w:tr>
      <w:tr>
        <w:tc>
          <w:tcPr>
            <w:tcW w:type="dxa" w:w="1814"/>
          </w:tcPr>
          <w:p>
            <w:r/>
            <w:r>
              <w:rPr>
                <w:sz w:val="17"/>
              </w:rPr>
              <w:t>Week / ending</w:t>
            </w:r>
          </w:p>
        </w:tc>
        <w:tc>
          <w:tcPr>
            <w:tcW w:type="dxa" w:w="3118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814"/>
          </w:tcPr>
          <w:p>
            <w:r/>
            <w:r>
              <w:rPr>
                <w:sz w:val="17"/>
              </w:rPr>
              <w:t>Contract month</w:t>
            </w:r>
          </w:p>
        </w:tc>
        <w:tc>
          <w:tcPr>
            <w:tcW w:type="dxa" w:w="3118"/>
          </w:tcPr>
          <w:p>
            <w:r/>
            <w:r>
              <w:rPr>
                <w:sz w:val="17"/>
              </w:rPr>
            </w:r>
          </w:p>
        </w:tc>
      </w:tr>
      <w:tr>
        <w:tc>
          <w:tcPr>
            <w:tcW w:type="dxa" w:w="1814"/>
          </w:tcPr>
          <w:p>
            <w:r/>
            <w:r>
              <w:rPr>
                <w:sz w:val="17"/>
              </w:rPr>
              <w:t>Author</w:t>
            </w:r>
          </w:p>
        </w:tc>
        <w:tc>
          <w:tcPr>
            <w:tcW w:type="dxa" w:w="3118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814"/>
          </w:tcPr>
          <w:p>
            <w:r/>
            <w:r>
              <w:rPr>
                <w:sz w:val="17"/>
              </w:rPr>
              <w:t>To</w:t>
            </w:r>
          </w:p>
        </w:tc>
        <w:tc>
          <w:tcPr>
            <w:tcW w:type="dxa" w:w="3118"/>
          </w:tcPr>
          <w:p>
            <w:r/>
            <w:r>
              <w:rPr>
                <w:sz w:val="17"/>
              </w:rPr>
            </w:r>
          </w:p>
        </w:tc>
      </w:tr>
      <w:tr>
        <w:tc>
          <w:tcPr>
            <w:tcW w:type="dxa" w:w="1814"/>
          </w:tcPr>
          <w:p>
            <w:r/>
            <w:r>
              <w:rPr>
                <w:sz w:val="17"/>
              </w:rPr>
              <w:t>Copy to</w:t>
            </w:r>
          </w:p>
        </w:tc>
        <w:tc>
          <w:tcPr>
            <w:tcW w:type="dxa" w:w="3118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814"/>
          </w:tcPr>
          <w:p>
            <w:r/>
            <w:r>
              <w:rPr>
                <w:sz w:val="17"/>
              </w:rPr>
              <w:t>Next report</w:t>
            </w:r>
          </w:p>
        </w:tc>
        <w:tc>
          <w:tcPr>
            <w:tcW w:type="dxa" w:w="3118"/>
          </w:tcPr>
          <w:p>
            <w:r/>
            <w:r>
              <w:rPr>
                <w:sz w:val="17"/>
              </w:rPr>
            </w:r>
          </w:p>
        </w:tc>
      </w:tr>
    </w:tbl>
    <w:p>
      <w:pPr>
        <w:pStyle w:val="Heading2"/>
      </w:pPr>
      <w:r>
        <w:t>Status against agreed rules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1020"/>
        <w:gridCol w:w="907"/>
        <w:gridCol w:w="3175"/>
        <w:gridCol w:w="2948"/>
      </w:tblGrid>
      <w:tr>
        <w:trPr>
          <w:tblHeader w:val="true"/>
        </w:trPr>
        <w:tc>
          <w:tcPr>
            <w:tcW w:type="dxa" w:w="1814"/>
            <w:shd w:val="clear" w:color="auto" w:fill="0E2A47"/>
          </w:tcPr>
          <w:p>
            <w:r/>
            <w:r>
              <w:rPr>
                <w:b/>
                <w:color w:val="FFFFFF"/>
                <w:sz w:val="17"/>
              </w:rPr>
              <w:t>Dimension</w:t>
            </w:r>
          </w:p>
        </w:tc>
        <w:tc>
          <w:tcPr>
            <w:tcW w:type="dxa" w:w="1020"/>
            <w:shd w:val="clear" w:color="auto" w:fill="0E2A47"/>
          </w:tcPr>
          <w:p>
            <w:r/>
            <w:r>
              <w:rPr>
                <w:b/>
                <w:color w:val="FFFFFF"/>
                <w:sz w:val="17"/>
              </w:rPr>
              <w:t>Colour</w:t>
            </w:r>
          </w:p>
        </w:tc>
        <w:tc>
          <w:tcPr>
            <w:tcW w:type="dxa" w:w="907"/>
            <w:shd w:val="clear" w:color="auto" w:fill="0E2A47"/>
          </w:tcPr>
          <w:p>
            <w:r/>
            <w:r>
              <w:rPr>
                <w:b/>
                <w:color w:val="FFFFFF"/>
                <w:sz w:val="17"/>
              </w:rPr>
              <w:t>Trend</w:t>
            </w:r>
          </w:p>
        </w:tc>
        <w:tc>
          <w:tcPr>
            <w:tcW w:type="dxa" w:w="3175"/>
            <w:shd w:val="clear" w:color="auto" w:fill="0E2A47"/>
          </w:tcPr>
          <w:p>
            <w:r/>
            <w:r>
              <w:rPr>
                <w:b/>
                <w:color w:val="FFFFFF"/>
                <w:sz w:val="17"/>
              </w:rPr>
              <w:t>Reason (one line)</w:t>
            </w:r>
          </w:p>
        </w:tc>
        <w:tc>
          <w:tcPr>
            <w:tcW w:type="dxa" w:w="2948"/>
            <w:shd w:val="clear" w:color="auto" w:fill="0E2A47"/>
          </w:tcPr>
          <w:p>
            <w:r/>
            <w:r>
              <w:rPr>
                <w:b/>
                <w:color w:val="FFFFFF"/>
                <w:sz w:val="17"/>
              </w:rPr>
              <w:t>What would change it</w:t>
            </w:r>
          </w:p>
        </w:tc>
      </w:tr>
      <w:tr>
        <w:tc>
          <w:tcPr>
            <w:tcW w:type="dxa" w:w="1814"/>
          </w:tcPr>
          <w:p>
            <w:r/>
            <w:r>
              <w:rPr>
                <w:sz w:val="17"/>
              </w:rPr>
              <w:t>Schedule</w:t>
            </w:r>
          </w:p>
        </w:tc>
        <w:tc>
          <w:tcPr>
            <w:tcW w:type="dxa" w:w="1020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3175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948"/>
          </w:tcPr>
          <w:p>
            <w:r/>
            <w:r>
              <w:rPr>
                <w:sz w:val="17"/>
              </w:rPr>
            </w:r>
          </w:p>
        </w:tc>
      </w:tr>
      <w:tr>
        <w:tc>
          <w:tcPr>
            <w:tcW w:type="dxa" w:w="1814"/>
          </w:tcPr>
          <w:p>
            <w:r/>
            <w:r>
              <w:rPr>
                <w:sz w:val="17"/>
              </w:rPr>
              <w:t>Milestones and payments</w:t>
            </w:r>
          </w:p>
        </w:tc>
        <w:tc>
          <w:tcPr>
            <w:tcW w:type="dxa" w:w="1020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3175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948"/>
          </w:tcPr>
          <w:p>
            <w:r/>
            <w:r>
              <w:rPr>
                <w:sz w:val="17"/>
              </w:rPr>
            </w:r>
          </w:p>
        </w:tc>
      </w:tr>
      <w:tr>
        <w:tc>
          <w:tcPr>
            <w:tcW w:type="dxa" w:w="1814"/>
          </w:tcPr>
          <w:p>
            <w:r/>
            <w:r>
              <w:rPr>
                <w:sz w:val="17"/>
              </w:rPr>
              <w:t>Design, GT and weight</w:t>
            </w:r>
          </w:p>
        </w:tc>
        <w:tc>
          <w:tcPr>
            <w:tcW w:type="dxa" w:w="1020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3175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948"/>
          </w:tcPr>
          <w:p>
            <w:r/>
            <w:r>
              <w:rPr>
                <w:sz w:val="17"/>
              </w:rPr>
            </w:r>
          </w:p>
        </w:tc>
      </w:tr>
      <w:tr>
        <w:tc>
          <w:tcPr>
            <w:tcW w:type="dxa" w:w="1814"/>
          </w:tcPr>
          <w:p>
            <w:r/>
            <w:r>
              <w:rPr>
                <w:sz w:val="17"/>
              </w:rPr>
              <w:t>Quality</w:t>
            </w:r>
          </w:p>
        </w:tc>
        <w:tc>
          <w:tcPr>
            <w:tcW w:type="dxa" w:w="1020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3175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948"/>
          </w:tcPr>
          <w:p>
            <w:r/>
            <w:r>
              <w:rPr>
                <w:sz w:val="17"/>
              </w:rPr>
            </w:r>
          </w:p>
        </w:tc>
      </w:tr>
      <w:tr>
        <w:tc>
          <w:tcPr>
            <w:tcW w:type="dxa" w:w="1814"/>
          </w:tcPr>
          <w:p>
            <w:r/>
            <w:r>
              <w:rPr>
                <w:sz w:val="17"/>
              </w:rPr>
              <w:t>Changes</w:t>
            </w:r>
          </w:p>
        </w:tc>
        <w:tc>
          <w:tcPr>
            <w:tcW w:type="dxa" w:w="1020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3175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948"/>
          </w:tcPr>
          <w:p>
            <w:r/>
            <w:r>
              <w:rPr>
                <w:sz w:val="17"/>
              </w:rPr>
            </w:r>
          </w:p>
        </w:tc>
      </w:tr>
    </w:tbl>
    <w:p>
      <w:pPr>
        <w:pStyle w:val="Heading2"/>
      </w:pPr>
      <w:r>
        <w:t>Headline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850"/>
        </w:trPr>
        <w:tc>
          <w:tcPr>
            <w:tcW w:type="dxa" w:w="9865"/>
          </w:tcPr>
          <w:p>
            <w:r/>
            <w:r>
              <w:rPr>
                <w:sz w:val="17"/>
              </w:rPr>
              <w:t>What changed this week. What it means for delivery. What we need from you.</w:t>
            </w:r>
          </w:p>
        </w:tc>
      </w:tr>
    </w:tbl>
    <w:p>
      <w:pPr>
        <w:pStyle w:val="Heading2"/>
      </w:pPr>
      <w:r>
        <w:t>Decisions required from the Owner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80"/>
        <w:gridCol w:w="2268"/>
        <w:gridCol w:w="1928"/>
        <w:gridCol w:w="1928"/>
        <w:gridCol w:w="1077"/>
        <w:gridCol w:w="1984"/>
      </w:tblGrid>
      <w:tr>
        <w:trPr>
          <w:tblHeader w:val="true"/>
        </w:trPr>
        <w:tc>
          <w:tcPr>
            <w:tcW w:type="dxa" w:w="680"/>
            <w:shd w:val="clear" w:color="auto" w:fill="0E2A47"/>
          </w:tcPr>
          <w:p>
            <w:r/>
            <w:r>
              <w:rPr>
                <w:b/>
                <w:color w:val="FFFFFF"/>
                <w:sz w:val="17"/>
              </w:rPr>
              <w:t>Ref</w:t>
            </w:r>
          </w:p>
        </w:tc>
        <w:tc>
          <w:tcPr>
            <w:tcW w:type="dxa" w:w="2268"/>
            <w:shd w:val="clear" w:color="auto" w:fill="0E2A47"/>
          </w:tcPr>
          <w:p>
            <w:r/>
            <w:r>
              <w:rPr>
                <w:b/>
                <w:color w:val="FFFFFF"/>
                <w:sz w:val="17"/>
              </w:rPr>
              <w:t>Decision</w:t>
            </w:r>
          </w:p>
        </w:tc>
        <w:tc>
          <w:tcPr>
            <w:tcW w:type="dxa" w:w="1928"/>
            <w:shd w:val="clear" w:color="auto" w:fill="0E2A47"/>
          </w:tcPr>
          <w:p>
            <w:r/>
            <w:r>
              <w:rPr>
                <w:b/>
                <w:color w:val="FFFFFF"/>
                <w:sz w:val="17"/>
              </w:rPr>
              <w:t>Options</w:t>
            </w:r>
          </w:p>
        </w:tc>
        <w:tc>
          <w:tcPr>
            <w:tcW w:type="dxa" w:w="1928"/>
            <w:shd w:val="clear" w:color="auto" w:fill="0E2A47"/>
          </w:tcPr>
          <w:p>
            <w:r/>
            <w:r>
              <w:rPr>
                <w:b/>
                <w:color w:val="FFFFFF"/>
                <w:sz w:val="17"/>
              </w:rPr>
              <w:t>Recommendation</w:t>
            </w:r>
          </w:p>
        </w:tc>
        <w:tc>
          <w:tcPr>
            <w:tcW w:type="dxa" w:w="1077"/>
            <w:shd w:val="clear" w:color="auto" w:fill="0E2A47"/>
          </w:tcPr>
          <w:p>
            <w:r/>
            <w:r>
              <w:rPr>
                <w:b/>
                <w:color w:val="FFFFFF"/>
                <w:sz w:val="17"/>
              </w:rPr>
              <w:t>Needed by</w:t>
            </w:r>
          </w:p>
        </w:tc>
        <w:tc>
          <w:tcPr>
            <w:tcW w:type="dxa" w:w="1984"/>
            <w:shd w:val="clear" w:color="auto" w:fill="0E2A47"/>
          </w:tcPr>
          <w:p>
            <w:r/>
            <w:r>
              <w:rPr>
                <w:b/>
                <w:color w:val="FFFFFF"/>
                <w:sz w:val="17"/>
              </w:rPr>
              <w:t>If late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077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984"/>
          </w:tcPr>
          <w:p>
            <w:r/>
            <w:r>
              <w:rPr>
                <w:sz w:val="17"/>
              </w:rPr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077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984"/>
          </w:tcPr>
          <w:p>
            <w:r/>
            <w:r>
              <w:rPr>
                <w:sz w:val="17"/>
              </w:rPr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077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984"/>
          </w:tcPr>
          <w:p>
            <w:r/>
            <w:r>
              <w:rPr>
                <w:sz w:val="17"/>
              </w:rPr>
            </w:r>
          </w:p>
        </w:tc>
      </w:tr>
    </w:tbl>
    <w:p>
      <w:r>
        <w:rPr>
          <w:color w:val="64748B"/>
          <w:sz w:val="18"/>
        </w:rPr>
        <w:t xml:space="preserve">Decisions taken since the last report: </w:t>
      </w:r>
    </w:p>
    <w:p>
      <w:pPr>
        <w:pStyle w:val="Heading2"/>
      </w:pPr>
      <w:r>
        <w:t>Progress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61"/>
        <w:gridCol w:w="1361"/>
        <w:gridCol w:w="1134"/>
        <w:gridCol w:w="1928"/>
        <w:gridCol w:w="2381"/>
        <w:gridCol w:w="1701"/>
      </w:tblGrid>
      <w:tr>
        <w:trPr>
          <w:tblHeader w:val="true"/>
        </w:trPr>
        <w:tc>
          <w:tcPr>
            <w:tcW w:type="dxa" w:w="1361"/>
            <w:shd w:val="clear" w:color="auto" w:fill="0E2A47"/>
          </w:tcPr>
          <w:p>
            <w:r/>
            <w:r>
              <w:rPr>
                <w:b/>
                <w:color w:val="FFFFFF"/>
                <w:sz w:val="17"/>
              </w:rPr>
              <w:t>Planned</w:t>
            </w:r>
          </w:p>
        </w:tc>
        <w:tc>
          <w:tcPr>
            <w:tcW w:type="dxa" w:w="1361"/>
            <w:shd w:val="clear" w:color="auto" w:fill="0E2A47"/>
          </w:tcPr>
          <w:p>
            <w:r/>
            <w:r>
              <w:rPr>
                <w:b/>
                <w:color w:val="FFFFFF"/>
                <w:sz w:val="17"/>
              </w:rPr>
              <w:t>Measured</w:t>
            </w:r>
          </w:p>
        </w:tc>
        <w:tc>
          <w:tcPr>
            <w:tcW w:type="dxa" w:w="1134"/>
            <w:shd w:val="clear" w:color="auto" w:fill="0E2A47"/>
          </w:tcPr>
          <w:p>
            <w:r/>
            <w:r>
              <w:rPr>
                <w:b/>
                <w:color w:val="FFFFFF"/>
                <w:sz w:val="17"/>
              </w:rPr>
              <w:t>Index</w:t>
            </w:r>
          </w:p>
        </w:tc>
        <w:tc>
          <w:tcPr>
            <w:tcW w:type="dxa" w:w="1928"/>
            <w:shd w:val="clear" w:color="auto" w:fill="0E2A47"/>
          </w:tcPr>
          <w:p>
            <w:r/>
            <w:r>
              <w:rPr>
                <w:b/>
                <w:color w:val="FFFFFF"/>
                <w:sz w:val="17"/>
              </w:rPr>
              <w:t>Critical path float</w:t>
            </w:r>
          </w:p>
        </w:tc>
        <w:tc>
          <w:tcPr>
            <w:tcW w:type="dxa" w:w="2381"/>
            <w:shd w:val="clear" w:color="auto" w:fill="0E2A47"/>
          </w:tcPr>
          <w:p>
            <w:r/>
            <w:r>
              <w:rPr>
                <w:b/>
                <w:color w:val="FFFFFF"/>
                <w:sz w:val="17"/>
              </w:rPr>
              <w:t>Change since last week</w:t>
            </w:r>
          </w:p>
        </w:tc>
        <w:tc>
          <w:tcPr>
            <w:tcW w:type="dxa" w:w="1701"/>
            <w:shd w:val="clear" w:color="auto" w:fill="0E2A47"/>
          </w:tcPr>
          <w:p>
            <w:r/>
            <w:r>
              <w:rPr>
                <w:b/>
                <w:color w:val="FFFFFF"/>
                <w:sz w:val="17"/>
              </w:rPr>
              <w:t>Measured on</w:t>
            </w:r>
          </w:p>
        </w:tc>
      </w:tr>
      <w:tr>
        <w:tc>
          <w:tcPr>
            <w:tcW w:type="dxa" w:w="1361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361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381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7"/>
              </w:rPr>
            </w:r>
          </w:p>
        </w:tc>
      </w:tr>
    </w:tbl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61"/>
        <w:gridCol w:w="1247"/>
        <w:gridCol w:w="1247"/>
        <w:gridCol w:w="4309"/>
      </w:tblGrid>
      <w:tr>
        <w:trPr>
          <w:tblHeader w:val="true"/>
        </w:trPr>
        <w:tc>
          <w:tcPr>
            <w:tcW w:type="dxa" w:w="3061"/>
            <w:shd w:val="clear" w:color="auto" w:fill="0E2A47"/>
          </w:tcPr>
          <w:p>
            <w:r/>
            <w:r>
              <w:rPr>
                <w:b/>
                <w:color w:val="FFFFFF"/>
                <w:sz w:val="17"/>
              </w:rPr>
              <w:t>Critical item</w:t>
            </w:r>
          </w:p>
        </w:tc>
        <w:tc>
          <w:tcPr>
            <w:tcW w:type="dxa" w:w="1247"/>
            <w:shd w:val="clear" w:color="auto" w:fill="0E2A47"/>
          </w:tcPr>
          <w:p>
            <w:r/>
            <w:r>
              <w:rPr>
                <w:b/>
                <w:color w:val="FFFFFF"/>
                <w:sz w:val="17"/>
              </w:rPr>
              <w:t>Planned %</w:t>
            </w:r>
          </w:p>
        </w:tc>
        <w:tc>
          <w:tcPr>
            <w:tcW w:type="dxa" w:w="1247"/>
            <w:shd w:val="clear" w:color="auto" w:fill="0E2A47"/>
          </w:tcPr>
          <w:p>
            <w:r/>
            <w:r>
              <w:rPr>
                <w:b/>
                <w:color w:val="FFFFFF"/>
                <w:sz w:val="17"/>
              </w:rPr>
              <w:t>Measured %</w:t>
            </w:r>
          </w:p>
        </w:tc>
        <w:tc>
          <w:tcPr>
            <w:tcW w:type="dxa" w:w="4309"/>
            <w:shd w:val="clear" w:color="auto" w:fill="0E2A47"/>
          </w:tcPr>
          <w:p>
            <w:r/>
            <w:r>
              <w:rPr>
                <w:b/>
                <w:color w:val="FFFFFF"/>
                <w:sz w:val="17"/>
              </w:rPr>
              <w:t>Note</w:t>
            </w:r>
          </w:p>
        </w:tc>
      </w:tr>
      <w:tr>
        <w:tc>
          <w:tcPr>
            <w:tcW w:type="dxa" w:w="3061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247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247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4309"/>
          </w:tcPr>
          <w:p>
            <w:r/>
            <w:r>
              <w:rPr>
                <w:sz w:val="17"/>
              </w:rPr>
            </w:r>
          </w:p>
        </w:tc>
      </w:tr>
      <w:tr>
        <w:tc>
          <w:tcPr>
            <w:tcW w:type="dxa" w:w="3061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247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247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4309"/>
          </w:tcPr>
          <w:p>
            <w:r/>
            <w:r>
              <w:rPr>
                <w:sz w:val="17"/>
              </w:rPr>
            </w:r>
          </w:p>
        </w:tc>
      </w:tr>
    </w:tbl>
    <w:p>
      <w:pPr>
        <w:pStyle w:val="Heading2"/>
      </w:pPr>
      <w:r>
        <w:t>Milestones and payments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67"/>
        <w:gridCol w:w="2438"/>
        <w:gridCol w:w="1191"/>
        <w:gridCol w:w="1928"/>
        <w:gridCol w:w="2268"/>
        <w:gridCol w:w="1474"/>
      </w:tblGrid>
      <w:tr>
        <w:trPr>
          <w:tblHeader w:val="true"/>
        </w:trPr>
        <w:tc>
          <w:tcPr>
            <w:tcW w:type="dxa" w:w="567"/>
            <w:shd w:val="clear" w:color="auto" w:fill="0E2A47"/>
          </w:tcPr>
          <w:p>
            <w:r/>
            <w:r>
              <w:rPr>
                <w:b/>
                <w:color w:val="FFFFFF"/>
                <w:sz w:val="17"/>
              </w:rPr>
              <w:t>No</w:t>
            </w:r>
          </w:p>
        </w:tc>
        <w:tc>
          <w:tcPr>
            <w:tcW w:type="dxa" w:w="2438"/>
            <w:shd w:val="clear" w:color="auto" w:fill="0E2A47"/>
          </w:tcPr>
          <w:p>
            <w:r/>
            <w:r>
              <w:rPr>
                <w:b/>
                <w:color w:val="FFFFFF"/>
                <w:sz w:val="17"/>
              </w:rPr>
              <w:t>Milestone</w:t>
            </w:r>
          </w:p>
        </w:tc>
        <w:tc>
          <w:tcPr>
            <w:tcW w:type="dxa" w:w="1191"/>
            <w:shd w:val="clear" w:color="auto" w:fill="0E2A47"/>
          </w:tcPr>
          <w:p>
            <w:r/>
            <w:r>
              <w:rPr>
                <w:b/>
                <w:color w:val="FFFFFF"/>
                <w:sz w:val="17"/>
              </w:rPr>
              <w:t>Baseline</w:t>
            </w:r>
          </w:p>
        </w:tc>
        <w:tc>
          <w:tcPr>
            <w:tcW w:type="dxa" w:w="1928"/>
            <w:shd w:val="clear" w:color="auto" w:fill="0E2A47"/>
          </w:tcPr>
          <w:p>
            <w:r/>
            <w:r>
              <w:rPr>
                <w:b/>
                <w:color w:val="FFFFFF"/>
                <w:sz w:val="17"/>
              </w:rPr>
              <w:t>Forecast</w:t>
            </w:r>
          </w:p>
        </w:tc>
        <w:tc>
          <w:tcPr>
            <w:tcW w:type="dxa" w:w="2268"/>
            <w:shd w:val="clear" w:color="auto" w:fill="0E2A47"/>
          </w:tcPr>
          <w:p>
            <w:r/>
            <w:r>
              <w:rPr>
                <w:b/>
                <w:color w:val="FFFFFF"/>
                <w:sz w:val="17"/>
              </w:rPr>
              <w:t>Evidence</w:t>
            </w:r>
          </w:p>
        </w:tc>
        <w:tc>
          <w:tcPr>
            <w:tcW w:type="dxa" w:w="1474"/>
            <w:shd w:val="clear" w:color="auto" w:fill="0E2A47"/>
          </w:tcPr>
          <w:p>
            <w:r/>
            <w:r>
              <w:rPr>
                <w:b/>
                <w:color w:val="FFFFFF"/>
                <w:sz w:val="17"/>
              </w:rPr>
              <w:t>Status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438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191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474"/>
          </w:tcPr>
          <w:p>
            <w:r/>
            <w:r>
              <w:rPr>
                <w:sz w:val="17"/>
              </w:rPr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438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191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474"/>
          </w:tcPr>
          <w:p>
            <w:r/>
            <w:r>
              <w:rPr>
                <w:sz w:val="17"/>
              </w:rPr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438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191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474"/>
          </w:tcPr>
          <w:p>
            <w:r/>
            <w:r>
              <w:rPr>
                <w:sz w:val="17"/>
              </w:rPr>
            </w:r>
          </w:p>
        </w:tc>
      </w:tr>
    </w:tbl>
    <w:p>
      <w:pPr>
        <w:pStyle w:val="Heading2"/>
      </w:pPr>
      <w:r>
        <w:t>Risks and open issues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28"/>
        <w:gridCol w:w="907"/>
        <w:gridCol w:w="3742"/>
        <w:gridCol w:w="1587"/>
      </w:tblGrid>
      <w:tr>
        <w:trPr>
          <w:tblHeader w:val="true"/>
        </w:trPr>
        <w:tc>
          <w:tcPr>
            <w:tcW w:type="dxa" w:w="3628"/>
            <w:shd w:val="clear" w:color="auto" w:fill="0E2A47"/>
          </w:tcPr>
          <w:p>
            <w:r/>
            <w:r>
              <w:rPr>
                <w:b/>
                <w:color w:val="FFFFFF"/>
                <w:sz w:val="17"/>
              </w:rPr>
              <w:t>Top risk</w:t>
            </w:r>
          </w:p>
        </w:tc>
        <w:tc>
          <w:tcPr>
            <w:tcW w:type="dxa" w:w="907"/>
            <w:shd w:val="clear" w:color="auto" w:fill="0E2A47"/>
          </w:tcPr>
          <w:p>
            <w:r/>
            <w:r>
              <w:rPr>
                <w:b/>
                <w:color w:val="FFFFFF"/>
                <w:sz w:val="17"/>
              </w:rPr>
              <w:t>Trend</w:t>
            </w:r>
          </w:p>
        </w:tc>
        <w:tc>
          <w:tcPr>
            <w:tcW w:type="dxa" w:w="3742"/>
            <w:shd w:val="clear" w:color="auto" w:fill="0E2A47"/>
          </w:tcPr>
          <w:p>
            <w:r/>
            <w:r>
              <w:rPr>
                <w:b/>
                <w:color w:val="FFFFFF"/>
                <w:sz w:val="17"/>
              </w:rPr>
              <w:t>Action</w:t>
            </w:r>
          </w:p>
        </w:tc>
        <w:tc>
          <w:tcPr>
            <w:tcW w:type="dxa" w:w="1587"/>
            <w:shd w:val="clear" w:color="auto" w:fill="0E2A47"/>
          </w:tcPr>
          <w:p>
            <w:r/>
            <w:r>
              <w:rPr>
                <w:b/>
                <w:color w:val="FFFFFF"/>
                <w:sz w:val="17"/>
              </w:rPr>
              <w:t>Owner</w:t>
            </w:r>
          </w:p>
        </w:tc>
      </w:tr>
      <w:tr>
        <w:tc>
          <w:tcPr>
            <w:tcW w:type="dxa" w:w="3628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374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587"/>
          </w:tcPr>
          <w:p>
            <w:r/>
            <w:r>
              <w:rPr>
                <w:sz w:val="17"/>
              </w:rPr>
            </w:r>
          </w:p>
        </w:tc>
      </w:tr>
      <w:tr>
        <w:tc>
          <w:tcPr>
            <w:tcW w:type="dxa" w:w="3628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374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587"/>
          </w:tcPr>
          <w:p>
            <w:r/>
            <w:r>
              <w:rPr>
                <w:sz w:val="17"/>
              </w:rPr>
            </w:r>
          </w:p>
        </w:tc>
      </w:tr>
      <w:tr>
        <w:tc>
          <w:tcPr>
            <w:tcW w:type="dxa" w:w="3628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374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587"/>
          </w:tcPr>
          <w:p>
            <w:r/>
            <w:r>
              <w:rPr>
                <w:sz w:val="17"/>
              </w:rPr>
            </w:r>
          </w:p>
        </w:tc>
      </w:tr>
    </w:tbl>
    <w:p>
      <w:r>
        <w:rPr>
          <w:color w:val="64748B"/>
          <w:sz w:val="18"/>
        </w:rPr>
        <w:t>Open issues: ___ open, ___ new, ___ closed this week, oldest ___ days (log in appendix).</w:t>
      </w:r>
    </w:p>
    <w:p>
      <w:pPr>
        <w:pStyle w:val="Heading2"/>
      </w:pPr>
      <w:r>
        <w:t>Look-ahead: next two weeks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5669"/>
        <w:gridCol w:w="2721"/>
      </w:tblGrid>
      <w:tr>
        <w:trPr>
          <w:tblHeader w:val="true"/>
        </w:trPr>
        <w:tc>
          <w:tcPr>
            <w:tcW w:type="dxa" w:w="1474"/>
            <w:shd w:val="clear" w:color="auto" w:fill="0E2A47"/>
          </w:tcPr>
          <w:p>
            <w:r/>
            <w:r>
              <w:rPr>
                <w:b/>
                <w:color w:val="FFFFFF"/>
                <w:sz w:val="17"/>
              </w:rPr>
              <w:t>Date</w:t>
            </w:r>
          </w:p>
        </w:tc>
        <w:tc>
          <w:tcPr>
            <w:tcW w:type="dxa" w:w="5669"/>
            <w:shd w:val="clear" w:color="auto" w:fill="0E2A47"/>
          </w:tcPr>
          <w:p>
            <w:r/>
            <w:r>
              <w:rPr>
                <w:b/>
                <w:color w:val="FFFFFF"/>
                <w:sz w:val="17"/>
              </w:rPr>
              <w:t>Event (inspection, test, delivery, visit)</w:t>
            </w:r>
          </w:p>
        </w:tc>
        <w:tc>
          <w:tcPr>
            <w:tcW w:type="dxa" w:w="2721"/>
            <w:shd w:val="clear" w:color="auto" w:fill="0E2A47"/>
          </w:tcPr>
          <w:p>
            <w:r/>
            <w:r>
              <w:rPr>
                <w:b/>
                <w:color w:val="FFFFFF"/>
                <w:sz w:val="17"/>
              </w:rPr>
              <w:t>Who attends</w:t>
            </w:r>
          </w:p>
        </w:tc>
      </w:tr>
      <w:tr>
        <w:tc>
          <w:tcPr>
            <w:tcW w:type="dxa" w:w="1474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5669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721"/>
          </w:tcPr>
          <w:p>
            <w:r/>
            <w:r>
              <w:rPr>
                <w:sz w:val="17"/>
              </w:rPr>
            </w:r>
          </w:p>
        </w:tc>
      </w:tr>
      <w:tr>
        <w:tc>
          <w:tcPr>
            <w:tcW w:type="dxa" w:w="1474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5669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721"/>
          </w:tcPr>
          <w:p>
            <w:r/>
            <w:r>
              <w:rPr>
                <w:sz w:val="17"/>
              </w:rPr>
            </w:r>
          </w:p>
        </w:tc>
      </w:tr>
      <w:tr>
        <w:tc>
          <w:tcPr>
            <w:tcW w:type="dxa" w:w="1474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5669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721"/>
          </w:tcPr>
          <w:p>
            <w:r/>
            <w:r>
              <w:rPr>
                <w:sz w:val="17"/>
              </w:rPr>
            </w:r>
          </w:p>
        </w:tc>
      </w:tr>
    </w:tbl>
    <w:p>
      <w:r>
        <w:br w:type="page"/>
      </w:r>
    </w:p>
    <w:p>
      <w:pPr>
        <w:pStyle w:val="Heading2"/>
      </w:pPr>
      <w:r>
        <w:t>Photo record</w:t>
      </w:r>
    </w:p>
    <w:p>
      <w:r>
        <w:rPr>
          <w:color w:val="64748B"/>
          <w:sz w:val="18"/>
        </w:rPr>
        <w:t>Six to eight photos from the fixed viewpoints. Keep originals (with their file date) in the archive.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61"/>
        <w:gridCol w:w="1134"/>
        <w:gridCol w:w="1701"/>
        <w:gridCol w:w="2835"/>
        <w:gridCol w:w="2835"/>
      </w:tblGrid>
      <w:tr>
        <w:trPr>
          <w:tblHeader w:val="true"/>
        </w:trPr>
        <w:tc>
          <w:tcPr>
            <w:tcW w:type="dxa" w:w="1361"/>
            <w:shd w:val="clear" w:color="auto" w:fill="0E2A47"/>
          </w:tcPr>
          <w:p>
            <w:r/>
            <w:r>
              <w:rPr>
                <w:b/>
                <w:color w:val="FFFFFF"/>
                <w:sz w:val="17"/>
              </w:rPr>
              <w:t>Ref</w:t>
            </w:r>
          </w:p>
        </w:tc>
        <w:tc>
          <w:tcPr>
            <w:tcW w:type="dxa" w:w="1134"/>
            <w:shd w:val="clear" w:color="auto" w:fill="0E2A47"/>
          </w:tcPr>
          <w:p>
            <w:r/>
            <w:r>
              <w:rPr>
                <w:b/>
                <w:color w:val="FFFFFF"/>
                <w:sz w:val="17"/>
              </w:rPr>
              <w:t>Date</w:t>
            </w:r>
          </w:p>
        </w:tc>
        <w:tc>
          <w:tcPr>
            <w:tcW w:type="dxa" w:w="1701"/>
            <w:shd w:val="clear" w:color="auto" w:fill="0E2A47"/>
          </w:tcPr>
          <w:p>
            <w:r/>
            <w:r>
              <w:rPr>
                <w:b/>
                <w:color w:val="FFFFFF"/>
                <w:sz w:val="17"/>
              </w:rPr>
              <w:t>Location</w:t>
            </w:r>
          </w:p>
        </w:tc>
        <w:tc>
          <w:tcPr>
            <w:tcW w:type="dxa" w:w="2835"/>
            <w:shd w:val="clear" w:color="auto" w:fill="0E2A47"/>
          </w:tcPr>
          <w:p>
            <w:r/>
            <w:r>
              <w:rPr>
                <w:b/>
                <w:color w:val="FFFFFF"/>
                <w:sz w:val="17"/>
              </w:rPr>
              <w:t>What it shows</w:t>
            </w:r>
          </w:p>
        </w:tc>
        <w:tc>
          <w:tcPr>
            <w:tcW w:type="dxa" w:w="2835"/>
            <w:shd w:val="clear" w:color="auto" w:fill="0E2A47"/>
          </w:tcPr>
          <w:p>
            <w:r/>
            <w:r>
              <w:rPr>
                <w:b/>
                <w:color w:val="FFFFFF"/>
                <w:sz w:val="17"/>
              </w:rPr>
              <w:t>Why it matters</w:t>
            </w:r>
          </w:p>
        </w:tc>
      </w:tr>
      <w:tr>
        <w:trPr>
          <w:trHeight w:val="567"/>
        </w:trPr>
        <w:tc>
          <w:tcPr>
            <w:tcW w:type="dxa" w:w="1361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567"/>
        </w:trPr>
        <w:tc>
          <w:tcPr>
            <w:tcW w:type="dxa" w:w="1361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567"/>
        </w:trPr>
        <w:tc>
          <w:tcPr>
            <w:tcW w:type="dxa" w:w="1361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567"/>
        </w:trPr>
        <w:tc>
          <w:tcPr>
            <w:tcW w:type="dxa" w:w="1361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567"/>
        </w:trPr>
        <w:tc>
          <w:tcPr>
            <w:tcW w:type="dxa" w:w="1361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567"/>
        </w:trPr>
        <w:tc>
          <w:tcPr>
            <w:tcW w:type="dxa" w:w="1361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567"/>
        </w:trPr>
        <w:tc>
          <w:tcPr>
            <w:tcW w:type="dxa" w:w="1361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567"/>
        </w:trPr>
        <w:tc>
          <w:tcPr>
            <w:tcW w:type="dxa" w:w="1361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134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701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835"/>
          </w:tcPr>
          <w:p>
            <w:r/>
            <w:r>
              <w:rPr>
                <w:sz w:val="17"/>
              </w:rPr>
            </w:r>
          </w:p>
        </w:tc>
      </w:tr>
    </w:tbl>
    <w:p>
      <w:pPr>
        <w:pStyle w:val="Heading2"/>
      </w:pPr>
      <w:r>
        <w:t>Appendices</w:t>
      </w:r>
    </w:p>
    <w:p>
      <w:r>
        <w:t>☐ Open issues log</w:t>
      </w:r>
    </w:p>
    <w:p>
      <w:r>
        <w:t>☐ Milestone and payment table (T6)</w:t>
      </w:r>
    </w:p>
    <w:p>
      <w:r>
        <w:t>☐ Change log summary</w:t>
      </w:r>
    </w:p>
    <w:p>
      <w:r>
        <w:t>☐ Drawing register extract and GT / weight margins (T7)</w:t>
      </w:r>
    </w:p>
    <w:p>
      <w:r>
        <w:t>☐ Physical progress calculation (T10 xlsx)</w:t>
      </w:r>
    </w:p>
    <w:p>
      <w:r>
        <w:t>☐ Weekly site meeting minutes</w:t>
      </w:r>
    </w:p>
    <w:p>
      <w:r>
        <w:br w:type="page"/>
      </w:r>
    </w:p>
    <w:p>
      <w:pPr>
        <w:pStyle w:val="Heading1"/>
      </w:pPr>
      <w:r>
        <w:t>Part B: Example (YP-48, illustrative), week 61</w:t>
      </w:r>
    </w:p>
    <w:p>
      <w:r>
        <w:rPr>
          <w:b/>
          <w:sz w:val="18"/>
        </w:rPr>
        <w:t xml:space="preserve">Fictional example. </w:t>
      </w:r>
      <w:r>
        <w:rPr>
          <w:color w:val="64748B"/>
          <w:sz w:val="18"/>
        </w:rPr>
        <w:t>Illustrative project: Project YP-48 is fictional. Its parameters are chosen from publicly reported industry ranges so the numbers are realistic, but no real yard, owner or yacht is described.</w:t>
      </w:r>
    </w:p>
    <w:p>
      <w:r>
        <w:rPr>
          <w:color w:val="64748B"/>
          <w:sz w:val="18"/>
        </w:rPr>
        <w:t>Progress is on an index where the total weighted scope = 100; money on an index where the contract price = 100. Class society and flag are not chosen in the example. Measured values are invented for teaching.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3118"/>
        <w:gridCol w:w="1814"/>
        <w:gridCol w:w="3118"/>
      </w:tblGrid>
      <w:tr>
        <w:trPr>
          <w:tblHeader w:val="true"/>
        </w:trPr>
        <w:tc>
          <w:tcPr>
            <w:tcW w:type="dxa" w:w="1814"/>
            <w:shd w:val="clear" w:color="auto" w:fill="0E2A47"/>
          </w:tcPr>
          <w:p>
            <w:r/>
            <w:r>
              <w:rPr>
                <w:b/>
                <w:color w:val="FFFFFF"/>
                <w:sz w:val="17"/>
              </w:rPr>
              <w:t>Field</w:t>
            </w:r>
          </w:p>
        </w:tc>
        <w:tc>
          <w:tcPr>
            <w:tcW w:type="dxa" w:w="3118"/>
            <w:shd w:val="clear" w:color="auto" w:fill="0E2A47"/>
          </w:tcPr>
          <w:p>
            <w:r/>
            <w:r>
              <w:rPr>
                <w:b/>
                <w:color w:val="FFFFFF"/>
                <w:sz w:val="17"/>
              </w:rPr>
              <w:t>Entry</w:t>
            </w:r>
          </w:p>
        </w:tc>
        <w:tc>
          <w:tcPr>
            <w:tcW w:type="dxa" w:w="1814"/>
            <w:shd w:val="clear" w:color="auto" w:fill="0E2A47"/>
          </w:tcPr>
          <w:p>
            <w:r/>
            <w:r>
              <w:rPr>
                <w:b/>
                <w:color w:val="FFFFFF"/>
                <w:sz w:val="17"/>
              </w:rPr>
              <w:t>Field</w:t>
            </w:r>
          </w:p>
        </w:tc>
        <w:tc>
          <w:tcPr>
            <w:tcW w:type="dxa" w:w="3118"/>
            <w:shd w:val="clear" w:color="auto" w:fill="0E2A47"/>
          </w:tcPr>
          <w:p>
            <w:r/>
            <w:r>
              <w:rPr>
                <w:b/>
                <w:color w:val="FFFFFF"/>
                <w:sz w:val="17"/>
              </w:rPr>
              <w:t>Entry</w:t>
            </w:r>
          </w:p>
        </w:tc>
      </w:tr>
      <w:tr>
        <w:tc>
          <w:tcPr>
            <w:tcW w:type="dxa" w:w="1814"/>
          </w:tcPr>
          <w:p>
            <w:r/>
            <w:r>
              <w:rPr>
                <w:sz w:val="17"/>
              </w:rPr>
              <w:t>Project</w:t>
            </w:r>
          </w:p>
        </w:tc>
        <w:tc>
          <w:tcPr>
            <w:tcW w:type="dxa" w:w="3118"/>
          </w:tcPr>
          <w:p>
            <w:r/>
            <w:r>
              <w:rPr>
                <w:sz w:val="17"/>
              </w:rPr>
              <w:t>YP-48, 48 m motor yacht</w:t>
            </w:r>
          </w:p>
        </w:tc>
        <w:tc>
          <w:tcPr>
            <w:tcW w:type="dxa" w:w="1814"/>
          </w:tcPr>
          <w:p>
            <w:r/>
            <w:r>
              <w:rPr>
                <w:sz w:val="17"/>
              </w:rPr>
              <w:t>Report no.</w:t>
            </w:r>
          </w:p>
        </w:tc>
        <w:tc>
          <w:tcPr>
            <w:tcW w:type="dxa" w:w="3118"/>
          </w:tcPr>
          <w:p>
            <w:r/>
            <w:r>
              <w:rPr>
                <w:sz w:val="17"/>
              </w:rPr>
              <w:t>61</w:t>
            </w:r>
          </w:p>
        </w:tc>
      </w:tr>
      <w:tr>
        <w:tc>
          <w:tcPr>
            <w:tcW w:type="dxa" w:w="1814"/>
          </w:tcPr>
          <w:p>
            <w:r/>
            <w:r>
              <w:rPr>
                <w:sz w:val="17"/>
              </w:rPr>
              <w:t>Week / ending</w:t>
            </w:r>
          </w:p>
        </w:tc>
        <w:tc>
          <w:tcPr>
            <w:tcW w:type="dxa" w:w="3118"/>
          </w:tcPr>
          <w:p>
            <w:r/>
            <w:r>
              <w:rPr>
                <w:sz w:val="17"/>
              </w:rPr>
              <w:t>Week 61, Friday 3 March 2028</w:t>
            </w:r>
          </w:p>
        </w:tc>
        <w:tc>
          <w:tcPr>
            <w:tcW w:type="dxa" w:w="1814"/>
          </w:tcPr>
          <w:p>
            <w:r/>
            <w:r>
              <w:rPr>
                <w:sz w:val="17"/>
              </w:rPr>
              <w:t>Contract month</w:t>
            </w:r>
          </w:p>
        </w:tc>
        <w:tc>
          <w:tcPr>
            <w:tcW w:type="dxa" w:w="3118"/>
          </w:tcPr>
          <w:p>
            <w:r/>
            <w:r>
              <w:rPr>
                <w:sz w:val="17"/>
              </w:rPr>
              <w:t>14 of 30</w:t>
            </w:r>
          </w:p>
        </w:tc>
      </w:tr>
      <w:tr>
        <w:tc>
          <w:tcPr>
            <w:tcW w:type="dxa" w:w="1814"/>
          </w:tcPr>
          <w:p>
            <w:r/>
            <w:r>
              <w:rPr>
                <w:sz w:val="17"/>
              </w:rPr>
              <w:t>Author</w:t>
            </w:r>
          </w:p>
        </w:tc>
        <w:tc>
          <w:tcPr>
            <w:tcW w:type="dxa" w:w="3118"/>
          </w:tcPr>
          <w:p>
            <w:r/>
            <w:r>
              <w:rPr>
                <w:sz w:val="17"/>
              </w:rPr>
              <w:t>Owner's representative</w:t>
            </w:r>
          </w:p>
        </w:tc>
        <w:tc>
          <w:tcPr>
            <w:tcW w:type="dxa" w:w="1814"/>
          </w:tcPr>
          <w:p>
            <w:r/>
            <w:r>
              <w:rPr>
                <w:sz w:val="17"/>
              </w:rPr>
              <w:t>To</w:t>
            </w:r>
          </w:p>
        </w:tc>
        <w:tc>
          <w:tcPr>
            <w:tcW w:type="dxa" w:w="3118"/>
          </w:tcPr>
          <w:p>
            <w:r/>
            <w:r>
              <w:rPr>
                <w:sz w:val="17"/>
              </w:rPr>
              <w:t>Owner</w:t>
            </w:r>
          </w:p>
        </w:tc>
      </w:tr>
      <w:tr>
        <w:tc>
          <w:tcPr>
            <w:tcW w:type="dxa" w:w="1814"/>
          </w:tcPr>
          <w:p>
            <w:r/>
            <w:r>
              <w:rPr>
                <w:sz w:val="17"/>
              </w:rPr>
              <w:t>Copy to</w:t>
            </w:r>
          </w:p>
        </w:tc>
        <w:tc>
          <w:tcPr>
            <w:tcW w:type="dxa" w:w="3118"/>
          </w:tcPr>
          <w:p>
            <w:r/>
            <w:r>
              <w:rPr>
                <w:sz w:val="17"/>
              </w:rPr>
              <w:t>Build captain</w:t>
            </w:r>
          </w:p>
        </w:tc>
        <w:tc>
          <w:tcPr>
            <w:tcW w:type="dxa" w:w="1814"/>
          </w:tcPr>
          <w:p>
            <w:r/>
            <w:r>
              <w:rPr>
                <w:sz w:val="17"/>
              </w:rPr>
              <w:t>Next report</w:t>
            </w:r>
          </w:p>
        </w:tc>
        <w:tc>
          <w:tcPr>
            <w:tcW w:type="dxa" w:w="3118"/>
          </w:tcPr>
          <w:p>
            <w:r/>
            <w:r>
              <w:rPr>
                <w:sz w:val="17"/>
              </w:rPr>
              <w:t>Friday, week 62</w:t>
            </w:r>
          </w:p>
        </w:tc>
      </w:tr>
    </w:tbl>
    <w:p>
      <w:pPr>
        <w:pStyle w:val="Heading2"/>
      </w:pPr>
      <w:r>
        <w:t>Status against agreed rules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1020"/>
        <w:gridCol w:w="907"/>
        <w:gridCol w:w="3175"/>
        <w:gridCol w:w="2948"/>
      </w:tblGrid>
      <w:tr>
        <w:trPr>
          <w:tblHeader w:val="true"/>
        </w:trPr>
        <w:tc>
          <w:tcPr>
            <w:tcW w:type="dxa" w:w="1814"/>
            <w:shd w:val="clear" w:color="auto" w:fill="0E2A47"/>
          </w:tcPr>
          <w:p>
            <w:r/>
            <w:r>
              <w:rPr>
                <w:b/>
                <w:color w:val="FFFFFF"/>
                <w:sz w:val="17"/>
              </w:rPr>
              <w:t>Dimension</w:t>
            </w:r>
          </w:p>
        </w:tc>
        <w:tc>
          <w:tcPr>
            <w:tcW w:type="dxa" w:w="1020"/>
            <w:shd w:val="clear" w:color="auto" w:fill="0E2A47"/>
          </w:tcPr>
          <w:p>
            <w:r/>
            <w:r>
              <w:rPr>
                <w:b/>
                <w:color w:val="FFFFFF"/>
                <w:sz w:val="17"/>
              </w:rPr>
              <w:t>Colour</w:t>
            </w:r>
          </w:p>
        </w:tc>
        <w:tc>
          <w:tcPr>
            <w:tcW w:type="dxa" w:w="907"/>
            <w:shd w:val="clear" w:color="auto" w:fill="0E2A47"/>
          </w:tcPr>
          <w:p>
            <w:r/>
            <w:r>
              <w:rPr>
                <w:b/>
                <w:color w:val="FFFFFF"/>
                <w:sz w:val="17"/>
              </w:rPr>
              <w:t>Trend</w:t>
            </w:r>
          </w:p>
        </w:tc>
        <w:tc>
          <w:tcPr>
            <w:tcW w:type="dxa" w:w="3175"/>
            <w:shd w:val="clear" w:color="auto" w:fill="0E2A47"/>
          </w:tcPr>
          <w:p>
            <w:r/>
            <w:r>
              <w:rPr>
                <w:b/>
                <w:color w:val="FFFFFF"/>
                <w:sz w:val="17"/>
              </w:rPr>
              <w:t>Reason (one line)</w:t>
            </w:r>
          </w:p>
        </w:tc>
        <w:tc>
          <w:tcPr>
            <w:tcW w:type="dxa" w:w="2948"/>
            <w:shd w:val="clear" w:color="auto" w:fill="0E2A47"/>
          </w:tcPr>
          <w:p>
            <w:r/>
            <w:r>
              <w:rPr>
                <w:b/>
                <w:color w:val="FFFFFF"/>
                <w:sz w:val="17"/>
              </w:rPr>
              <w:t>What would change it</w:t>
            </w:r>
          </w:p>
        </w:tc>
      </w:tr>
      <w:tr>
        <w:tc>
          <w:tcPr>
            <w:tcW w:type="dxa" w:w="1814"/>
          </w:tcPr>
          <w:p>
            <w:r/>
            <w:r>
              <w:rPr>
                <w:sz w:val="17"/>
              </w:rPr>
              <w:t>Schedule</w:t>
            </w:r>
          </w:p>
        </w:tc>
        <w:tc>
          <w:tcPr>
            <w:tcW w:type="dxa" w:w="1020"/>
            <w:shd w:val="clear" w:color="auto" w:fill="FBE3D2"/>
          </w:tcPr>
          <w:p>
            <w:r/>
            <w:r>
              <w:rPr>
                <w:sz w:val="17"/>
              </w:rPr>
              <w:t>Amber</w:t>
            </w:r>
          </w:p>
        </w:tc>
        <w:tc>
          <w:tcPr>
            <w:tcW w:type="dxa" w:w="907"/>
          </w:tcPr>
          <w:p>
            <w:r/>
            <w:r>
              <w:rPr>
                <w:sz w:val="17"/>
              </w:rPr>
              <w:t>Down</w:t>
            </w:r>
          </w:p>
        </w:tc>
        <w:tc>
          <w:tcPr>
            <w:tcW w:type="dxa" w:w="3175"/>
          </w:tcPr>
          <w:p>
            <w:r/>
            <w:r>
              <w:rPr>
                <w:sz w:val="17"/>
              </w:rPr>
              <w:t>Superstructure about 2 weeks behind on the critical path; Yard second shift started this week</w:t>
            </w:r>
          </w:p>
        </w:tc>
        <w:tc>
          <w:tcPr>
            <w:tcW w:type="dxa" w:w="2948"/>
          </w:tcPr>
          <w:p>
            <w:r/>
            <w:r>
              <w:rPr>
                <w:sz w:val="17"/>
              </w:rPr>
              <w:t>Red if the last two superstructure sections are not welded and inspected by end of week 63</w:t>
            </w:r>
          </w:p>
        </w:tc>
      </w:tr>
      <w:tr>
        <w:tc>
          <w:tcPr>
            <w:tcW w:type="dxa" w:w="1814"/>
          </w:tcPr>
          <w:p>
            <w:r/>
            <w:r>
              <w:rPr>
                <w:sz w:val="17"/>
              </w:rPr>
              <w:t>Milestones and payments</w:t>
            </w:r>
          </w:p>
        </w:tc>
        <w:tc>
          <w:tcPr>
            <w:tcW w:type="dxa" w:w="1020"/>
            <w:shd w:val="clear" w:color="auto" w:fill="D5EFE0"/>
          </w:tcPr>
          <w:p>
            <w:r/>
            <w:r>
              <w:rPr>
                <w:sz w:val="17"/>
              </w:rPr>
              <w:t>Green</w:t>
            </w:r>
          </w:p>
        </w:tc>
        <w:tc>
          <w:tcPr>
            <w:tcW w:type="dxa" w:w="907"/>
          </w:tcPr>
          <w:p>
            <w:r/>
            <w:r>
              <w:rPr>
                <w:sz w:val="17"/>
              </w:rPr>
              <w:t>Same</w:t>
            </w:r>
          </w:p>
        </w:tc>
        <w:tc>
          <w:tcPr>
            <w:tcW w:type="dxa" w:w="3175"/>
          </w:tcPr>
          <w:p>
            <w:r/>
            <w:r>
              <w:rPr>
                <w:sz w:val="17"/>
              </w:rPr>
              <w:t>Milestone 3 claimed; 5 of 6 evidence items accepted; joint inspection booked</w:t>
            </w:r>
          </w:p>
        </w:tc>
        <w:tc>
          <w:tcPr>
            <w:tcW w:type="dxa" w:w="2948"/>
          </w:tcPr>
          <w:p>
            <w:r/>
            <w:r>
              <w:rPr>
                <w:sz w:val="17"/>
              </w:rPr>
              <w:t>Amber if the joint inspection finds a deficiency</w:t>
            </w:r>
          </w:p>
        </w:tc>
      </w:tr>
      <w:tr>
        <w:tc>
          <w:tcPr>
            <w:tcW w:type="dxa" w:w="1814"/>
          </w:tcPr>
          <w:p>
            <w:r/>
            <w:r>
              <w:rPr>
                <w:sz w:val="17"/>
              </w:rPr>
              <w:t>Design, GT and weight</w:t>
            </w:r>
          </w:p>
        </w:tc>
        <w:tc>
          <w:tcPr>
            <w:tcW w:type="dxa" w:w="1020"/>
            <w:shd w:val="clear" w:color="auto" w:fill="FBE3D2"/>
          </w:tcPr>
          <w:p>
            <w:r/>
            <w:r>
              <w:rPr>
                <w:sz w:val="17"/>
              </w:rPr>
              <w:t>Amber</w:t>
            </w:r>
          </w:p>
        </w:tc>
        <w:tc>
          <w:tcPr>
            <w:tcW w:type="dxa" w:w="907"/>
          </w:tcPr>
          <w:p>
            <w:r/>
            <w:r>
              <w:rPr>
                <w:sz w:val="17"/>
              </w:rPr>
              <w:t>Same</w:t>
            </w:r>
          </w:p>
        </w:tc>
        <w:tc>
          <w:tcPr>
            <w:tcW w:type="dxa" w:w="3175"/>
          </w:tcPr>
          <w:p>
            <w:r/>
            <w:r>
              <w:rPr>
                <w:sz w:val="17"/>
              </w:rPr>
              <w:t>GT margin 2.7 (warning below 3.0); weight margin 0.6 (warning below 1.0)</w:t>
            </w:r>
          </w:p>
        </w:tc>
        <w:tc>
          <w:tcPr>
            <w:tcW w:type="dxa" w:w="2948"/>
          </w:tcPr>
          <w:p>
            <w:r/>
            <w:r>
              <w:rPr>
                <w:sz w:val="17"/>
              </w:rPr>
              <w:t>CR-06 would take the weight margin to 0.3</w:t>
            </w:r>
          </w:p>
        </w:tc>
      </w:tr>
      <w:tr>
        <w:tc>
          <w:tcPr>
            <w:tcW w:type="dxa" w:w="1814"/>
          </w:tcPr>
          <w:p>
            <w:r/>
            <w:r>
              <w:rPr>
                <w:sz w:val="17"/>
              </w:rPr>
              <w:t>Quality</w:t>
            </w:r>
          </w:p>
        </w:tc>
        <w:tc>
          <w:tcPr>
            <w:tcW w:type="dxa" w:w="1020"/>
            <w:shd w:val="clear" w:color="auto" w:fill="D5EFE0"/>
          </w:tcPr>
          <w:p>
            <w:r/>
            <w:r>
              <w:rPr>
                <w:sz w:val="17"/>
              </w:rPr>
              <w:t>Green</w:t>
            </w:r>
          </w:p>
        </w:tc>
        <w:tc>
          <w:tcPr>
            <w:tcW w:type="dxa" w:w="907"/>
          </w:tcPr>
          <w:p>
            <w:r/>
            <w:r>
              <w:rPr>
                <w:sz w:val="17"/>
              </w:rPr>
              <w:t>Same</w:t>
            </w:r>
          </w:p>
        </w:tc>
        <w:tc>
          <w:tcPr>
            <w:tcW w:type="dxa" w:w="3175"/>
          </w:tcPr>
          <w:p>
            <w:r/>
            <w:r>
              <w:rPr>
                <w:sz w:val="17"/>
              </w:rPr>
              <w:t>No findings overdue</w:t>
            </w:r>
          </w:p>
        </w:tc>
        <w:tc>
          <w:tcPr>
            <w:tcW w:type="dxa" w:w="2948"/>
          </w:tcPr>
          <w:p>
            <w:r/>
            <w:r>
              <w:rPr>
                <w:sz w:val="17"/>
              </w:rPr>
            </w:r>
          </w:p>
        </w:tc>
      </w:tr>
      <w:tr>
        <w:tc>
          <w:tcPr>
            <w:tcW w:type="dxa" w:w="1814"/>
          </w:tcPr>
          <w:p>
            <w:r/>
            <w:r>
              <w:rPr>
                <w:sz w:val="17"/>
              </w:rPr>
              <w:t>Changes</w:t>
            </w:r>
          </w:p>
        </w:tc>
        <w:tc>
          <w:tcPr>
            <w:tcW w:type="dxa" w:w="1020"/>
            <w:shd w:val="clear" w:color="auto" w:fill="D5EFE0"/>
          </w:tcPr>
          <w:p>
            <w:r/>
            <w:r>
              <w:rPr>
                <w:sz w:val="17"/>
              </w:rPr>
              <w:t>Green</w:t>
            </w:r>
          </w:p>
        </w:tc>
        <w:tc>
          <w:tcPr>
            <w:tcW w:type="dxa" w:w="907"/>
          </w:tcPr>
          <w:p>
            <w:r/>
            <w:r>
              <w:rPr>
                <w:sz w:val="17"/>
              </w:rPr>
              <w:t>Same</w:t>
            </w:r>
          </w:p>
        </w:tc>
        <w:tc>
          <w:tcPr>
            <w:tcW w:type="dxa" w:w="3175"/>
          </w:tcPr>
          <w:p>
            <w:r/>
            <w:r>
              <w:rPr>
                <w:sz w:val="17"/>
              </w:rPr>
              <w:t>No work on unpriced instructions; CR-06 on hold until decided</w:t>
            </w:r>
          </w:p>
        </w:tc>
        <w:tc>
          <w:tcPr>
            <w:tcW w:type="dxa" w:w="2948"/>
          </w:tcPr>
          <w:p>
            <w:r/>
            <w:r>
              <w:rPr>
                <w:sz w:val="17"/>
              </w:rPr>
            </w:r>
          </w:p>
        </w:tc>
      </w:tr>
    </w:tbl>
    <w:p>
      <w:r>
        <w:rPr>
          <w:b/>
          <w:sz w:val="18"/>
        </w:rPr>
        <w:t xml:space="preserve">Note. </w:t>
      </w:r>
      <w:r>
        <w:rPr>
          <w:color w:val="64748B"/>
          <w:sz w:val="18"/>
        </w:rPr>
        <w:t>The Yard's own report rates the schedule green, assuming the second shift recovers the time. Under the agreed rules a started, resourced recovery plan gives amber, not green.</w:t>
      </w:r>
    </w:p>
    <w:p>
      <w:pPr>
        <w:pStyle w:val="Heading2"/>
      </w:pPr>
      <w:r>
        <w:t>Headline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</w:tcPr>
          <w:p>
            <w:r/>
            <w:r>
              <w:rPr>
                <w:sz w:val="17"/>
              </w:rPr>
              <w:t>Superstructure welding is about two weeks behind plan and sits on the critical path; the Yard started a second shift this week and still forecasts joining in month 16, while on the current rate we forecast the second half of month 16. Milestone 3 (main engines) is claimed, with five of six evidence items accepted and the joint inspection booked for Tuesday. We need three decisions from you: the master bathroom stone by the end of week 62, and the AV/IT specification and the tender garage door change by the end of week 63.</w:t>
            </w:r>
          </w:p>
        </w:tc>
      </w:tr>
    </w:tbl>
    <w:p>
      <w:pPr>
        <w:pStyle w:val="Heading2"/>
      </w:pPr>
      <w:r>
        <w:t>Decisions required from the Owner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80"/>
        <w:gridCol w:w="2268"/>
        <w:gridCol w:w="1928"/>
        <w:gridCol w:w="1928"/>
        <w:gridCol w:w="1077"/>
        <w:gridCol w:w="1984"/>
      </w:tblGrid>
      <w:tr>
        <w:trPr>
          <w:tblHeader w:val="true"/>
        </w:trPr>
        <w:tc>
          <w:tcPr>
            <w:tcW w:type="dxa" w:w="680"/>
            <w:shd w:val="clear" w:color="auto" w:fill="0E2A47"/>
          </w:tcPr>
          <w:p>
            <w:r/>
            <w:r>
              <w:rPr>
                <w:b/>
                <w:color w:val="FFFFFF"/>
                <w:sz w:val="17"/>
              </w:rPr>
              <w:t>Ref</w:t>
            </w:r>
          </w:p>
        </w:tc>
        <w:tc>
          <w:tcPr>
            <w:tcW w:type="dxa" w:w="2268"/>
            <w:shd w:val="clear" w:color="auto" w:fill="0E2A47"/>
          </w:tcPr>
          <w:p>
            <w:r/>
            <w:r>
              <w:rPr>
                <w:b/>
                <w:color w:val="FFFFFF"/>
                <w:sz w:val="17"/>
              </w:rPr>
              <w:t>Decision</w:t>
            </w:r>
          </w:p>
        </w:tc>
        <w:tc>
          <w:tcPr>
            <w:tcW w:type="dxa" w:w="1928"/>
            <w:shd w:val="clear" w:color="auto" w:fill="0E2A47"/>
          </w:tcPr>
          <w:p>
            <w:r/>
            <w:r>
              <w:rPr>
                <w:b/>
                <w:color w:val="FFFFFF"/>
                <w:sz w:val="17"/>
              </w:rPr>
              <w:t>Options</w:t>
            </w:r>
          </w:p>
        </w:tc>
        <w:tc>
          <w:tcPr>
            <w:tcW w:type="dxa" w:w="1928"/>
            <w:shd w:val="clear" w:color="auto" w:fill="0E2A47"/>
          </w:tcPr>
          <w:p>
            <w:r/>
            <w:r>
              <w:rPr>
                <w:b/>
                <w:color w:val="FFFFFF"/>
                <w:sz w:val="17"/>
              </w:rPr>
              <w:t>Recommendation</w:t>
            </w:r>
          </w:p>
        </w:tc>
        <w:tc>
          <w:tcPr>
            <w:tcW w:type="dxa" w:w="1077"/>
            <w:shd w:val="clear" w:color="auto" w:fill="0E2A47"/>
          </w:tcPr>
          <w:p>
            <w:r/>
            <w:r>
              <w:rPr>
                <w:b/>
                <w:color w:val="FFFFFF"/>
                <w:sz w:val="17"/>
              </w:rPr>
              <w:t>Needed by</w:t>
            </w:r>
          </w:p>
        </w:tc>
        <w:tc>
          <w:tcPr>
            <w:tcW w:type="dxa" w:w="1984"/>
            <w:shd w:val="clear" w:color="auto" w:fill="0E2A47"/>
          </w:tcPr>
          <w:p>
            <w:r/>
            <w:r>
              <w:rPr>
                <w:b/>
                <w:color w:val="FFFFFF"/>
                <w:sz w:val="17"/>
              </w:rPr>
              <w:t>If late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7"/>
              </w:rPr>
              <w:t>D-14</w:t>
            </w:r>
          </w:p>
        </w:tc>
        <w:tc>
          <w:tcPr>
            <w:tcW w:type="dxa" w:w="2268"/>
          </w:tcPr>
          <w:p>
            <w:r/>
            <w:r>
              <w:rPr>
                <w:sz w:val="17"/>
              </w:rPr>
              <w:t>Master bathroom stone</w:t>
            </w:r>
          </w:p>
        </w:tc>
        <w:tc>
          <w:tcPr>
            <w:tcW w:type="dxa" w:w="1928"/>
          </w:tcPr>
          <w:p>
            <w:r/>
            <w:r>
              <w:rPr>
                <w:sz w:val="17"/>
              </w:rPr>
              <w:t>Sample A or sample B (weights in the sample register)</w:t>
            </w:r>
          </w:p>
        </w:tc>
        <w:tc>
          <w:tcPr>
            <w:tcW w:type="dxa" w:w="1928"/>
          </w:tcPr>
          <w:p>
            <w:r/>
            <w:r>
              <w:rPr>
                <w:sz w:val="17"/>
              </w:rPr>
              <w:t>Sample B: lighter, same supplier lead time</w:t>
            </w:r>
          </w:p>
        </w:tc>
        <w:tc>
          <w:tcPr>
            <w:tcW w:type="dxa" w:w="1077"/>
          </w:tcPr>
          <w:p>
            <w:r/>
            <w:r>
              <w:rPr>
                <w:sz w:val="17"/>
              </w:rPr>
              <w:t>End of week 62</w:t>
            </w:r>
          </w:p>
        </w:tc>
        <w:tc>
          <w:tcPr>
            <w:tcW w:type="dxa" w:w="1984"/>
          </w:tcPr>
          <w:p>
            <w:r/>
            <w:r>
              <w:rPr>
                <w:sz w:val="17"/>
              </w:rPr>
              <w:t>Stone and joinery for the area start late; interior has about 1 month float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7"/>
              </w:rPr>
              <w:t>D-15</w:t>
            </w:r>
          </w:p>
        </w:tc>
        <w:tc>
          <w:tcPr>
            <w:tcW w:type="dxa" w:w="2268"/>
          </w:tcPr>
          <w:p>
            <w:r/>
            <w:r>
              <w:rPr>
                <w:sz w:val="17"/>
              </w:rPr>
              <w:t>Sign off the AV/IT specification</w:t>
            </w:r>
          </w:p>
        </w:tc>
        <w:tc>
          <w:tcPr>
            <w:tcW w:type="dxa" w:w="1928"/>
          </w:tcPr>
          <w:p>
            <w:r/>
            <w:r>
              <w:rPr>
                <w:sz w:val="17"/>
              </w:rPr>
              <w:t>Issued spec rev C as is, or with the two open comments</w:t>
            </w:r>
          </w:p>
        </w:tc>
        <w:tc>
          <w:tcPr>
            <w:tcW w:type="dxa" w:w="1928"/>
          </w:tcPr>
          <w:p>
            <w:r/>
            <w:r>
              <w:rPr>
                <w:sz w:val="17"/>
              </w:rPr>
              <w:t>Sign rev C; handle comments as a later change</w:t>
            </w:r>
          </w:p>
        </w:tc>
        <w:tc>
          <w:tcPr>
            <w:tcW w:type="dxa" w:w="1077"/>
          </w:tcPr>
          <w:p>
            <w:r/>
            <w:r>
              <w:rPr>
                <w:sz w:val="17"/>
              </w:rPr>
              <w:t>End of week 63</w:t>
            </w:r>
          </w:p>
        </w:tc>
        <w:tc>
          <w:tcPr>
            <w:tcW w:type="dxa" w:w="1984"/>
          </w:tcPr>
          <w:p>
            <w:r/>
            <w:r>
              <w:rPr>
                <w:sz w:val="17"/>
              </w:rPr>
              <w:t>Uses the 1 month float week by week; then commissioning and delivery move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7"/>
              </w:rPr>
              <w:t>D-16</w:t>
            </w:r>
          </w:p>
        </w:tc>
        <w:tc>
          <w:tcPr>
            <w:tcW w:type="dxa" w:w="2268"/>
          </w:tcPr>
          <w:p>
            <w:r/>
            <w:r>
              <w:rPr>
                <w:sz w:val="17"/>
              </w:rPr>
              <w:t>CR-06, larger hydraulic tender garage door</w:t>
            </w:r>
          </w:p>
        </w:tc>
        <w:tc>
          <w:tcPr>
            <w:tcW w:type="dxa" w:w="1928"/>
          </w:tcPr>
          <w:p>
            <w:r/>
            <w:r>
              <w:rPr>
                <w:sz w:val="17"/>
              </w:rPr>
              <w:t>Accept or reject once the Yard's price and the naval architect's check arrive (expected week 62)</w:t>
            </w:r>
          </w:p>
        </w:tc>
        <w:tc>
          <w:tcPr>
            <w:tcW w:type="dxa" w:w="1928"/>
          </w:tcPr>
          <w:p>
            <w:r/>
            <w:r>
              <w:rPr>
                <w:sz w:val="17"/>
              </w:rPr>
              <w:t>Decide on the check; weight effect +0.3 of 0.6 remaining</w:t>
            </w:r>
          </w:p>
        </w:tc>
        <w:tc>
          <w:tcPr>
            <w:tcW w:type="dxa" w:w="1077"/>
          </w:tcPr>
          <w:p>
            <w:r/>
            <w:r>
              <w:rPr>
                <w:sz w:val="17"/>
              </w:rPr>
              <w:t>End of week 63</w:t>
            </w:r>
          </w:p>
        </w:tc>
        <w:tc>
          <w:tcPr>
            <w:tcW w:type="dxa" w:w="1984"/>
          </w:tcPr>
          <w:p>
            <w:r/>
            <w:r>
              <w:rPr>
                <w:sz w:val="17"/>
              </w:rPr>
              <w:t>Structural work must finish before the hot-work cut-off at month 16</w:t>
            </w:r>
          </w:p>
        </w:tc>
      </w:tr>
    </w:tbl>
    <w:p>
      <w:r>
        <w:rPr>
          <w:color w:val="64748B"/>
          <w:sz w:val="18"/>
        </w:rPr>
        <w:t>Decisions taken since the last report: CR-05, sun-deck bar enclosure, rejected (would have taken the tonnage estimate to about 502.6 GT).</w:t>
      </w:r>
    </w:p>
    <w:p>
      <w:pPr>
        <w:pStyle w:val="Heading2"/>
      </w:pPr>
      <w:r>
        <w:t>Progress (month-end measurement)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61"/>
        <w:gridCol w:w="1361"/>
        <w:gridCol w:w="1134"/>
        <w:gridCol w:w="1928"/>
        <w:gridCol w:w="2381"/>
        <w:gridCol w:w="1701"/>
      </w:tblGrid>
      <w:tr>
        <w:trPr>
          <w:tblHeader w:val="true"/>
        </w:trPr>
        <w:tc>
          <w:tcPr>
            <w:tcW w:type="dxa" w:w="1361"/>
            <w:shd w:val="clear" w:color="auto" w:fill="0E2A47"/>
          </w:tcPr>
          <w:p>
            <w:r/>
            <w:r>
              <w:rPr>
                <w:b/>
                <w:color w:val="FFFFFF"/>
                <w:sz w:val="17"/>
              </w:rPr>
              <w:t>Planned</w:t>
            </w:r>
          </w:p>
        </w:tc>
        <w:tc>
          <w:tcPr>
            <w:tcW w:type="dxa" w:w="1361"/>
            <w:shd w:val="clear" w:color="auto" w:fill="0E2A47"/>
          </w:tcPr>
          <w:p>
            <w:r/>
            <w:r>
              <w:rPr>
                <w:b/>
                <w:color w:val="FFFFFF"/>
                <w:sz w:val="17"/>
              </w:rPr>
              <w:t>Measured</w:t>
            </w:r>
          </w:p>
        </w:tc>
        <w:tc>
          <w:tcPr>
            <w:tcW w:type="dxa" w:w="1134"/>
            <w:shd w:val="clear" w:color="auto" w:fill="0E2A47"/>
          </w:tcPr>
          <w:p>
            <w:r/>
            <w:r>
              <w:rPr>
                <w:b/>
                <w:color w:val="FFFFFF"/>
                <w:sz w:val="17"/>
              </w:rPr>
              <w:t>Index</w:t>
            </w:r>
          </w:p>
        </w:tc>
        <w:tc>
          <w:tcPr>
            <w:tcW w:type="dxa" w:w="1928"/>
            <w:shd w:val="clear" w:color="auto" w:fill="0E2A47"/>
          </w:tcPr>
          <w:p>
            <w:r/>
            <w:r>
              <w:rPr>
                <w:b/>
                <w:color w:val="FFFFFF"/>
                <w:sz w:val="17"/>
              </w:rPr>
              <w:t>Critical path float</w:t>
            </w:r>
          </w:p>
        </w:tc>
        <w:tc>
          <w:tcPr>
            <w:tcW w:type="dxa" w:w="2381"/>
            <w:shd w:val="clear" w:color="auto" w:fill="0E2A47"/>
          </w:tcPr>
          <w:p>
            <w:r/>
            <w:r>
              <w:rPr>
                <w:b/>
                <w:color w:val="FFFFFF"/>
                <w:sz w:val="17"/>
              </w:rPr>
              <w:t>Change since last week</w:t>
            </w:r>
          </w:p>
        </w:tc>
        <w:tc>
          <w:tcPr>
            <w:tcW w:type="dxa" w:w="1701"/>
            <w:shd w:val="clear" w:color="auto" w:fill="0E2A47"/>
          </w:tcPr>
          <w:p>
            <w:r/>
            <w:r>
              <w:rPr>
                <w:b/>
                <w:color w:val="FFFFFF"/>
                <w:sz w:val="17"/>
              </w:rPr>
              <w:t>Measured on</w:t>
            </w:r>
          </w:p>
        </w:tc>
      </w:tr>
      <w:tr>
        <w:tc>
          <w:tcPr>
            <w:tcW w:type="dxa" w:w="1361"/>
          </w:tcPr>
          <w:p>
            <w:r/>
            <w:r>
              <w:rPr>
                <w:sz w:val="17"/>
              </w:rPr>
              <w:t>53.8</w:t>
            </w:r>
          </w:p>
        </w:tc>
        <w:tc>
          <w:tcPr>
            <w:tcW w:type="dxa" w:w="1361"/>
          </w:tcPr>
          <w:p>
            <w:r/>
            <w:r>
              <w:rPr>
                <w:sz w:val="17"/>
              </w:rPr>
              <w:t>51.2</w:t>
            </w:r>
          </w:p>
        </w:tc>
        <w:tc>
          <w:tcPr>
            <w:tcW w:type="dxa" w:w="1134"/>
          </w:tcPr>
          <w:p>
            <w:r/>
            <w:r>
              <w:rPr>
                <w:sz w:val="17"/>
              </w:rPr>
              <w:t>0.95</w:t>
            </w:r>
          </w:p>
        </w:tc>
        <w:tc>
          <w:tcPr>
            <w:tcW w:type="dxa" w:w="1928"/>
          </w:tcPr>
          <w:p>
            <w:r/>
            <w:r>
              <w:rPr>
                <w:sz w:val="17"/>
              </w:rPr>
              <w:t>0 (critical); 6 paths at 1 month</w:t>
            </w:r>
          </w:p>
        </w:tc>
        <w:tc>
          <w:tcPr>
            <w:tcW w:type="dxa" w:w="2381"/>
          </w:tcPr>
          <w:p>
            <w:r/>
            <w:r>
              <w:rPr>
                <w:sz w:val="17"/>
              </w:rPr>
              <w:t>Index 0.96 to 0.95 (month 13 to 14)</w:t>
            </w:r>
          </w:p>
        </w:tc>
        <w:tc>
          <w:tcPr>
            <w:tcW w:type="dxa" w:w="1701"/>
          </w:tcPr>
          <w:p>
            <w:r/>
            <w:r>
              <w:rPr>
                <w:sz w:val="17"/>
              </w:rPr>
              <w:t>End of month 14</w:t>
            </w:r>
          </w:p>
        </w:tc>
      </w:tr>
    </w:tbl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61"/>
        <w:gridCol w:w="1247"/>
        <w:gridCol w:w="1247"/>
        <w:gridCol w:w="4309"/>
      </w:tblGrid>
      <w:tr>
        <w:trPr>
          <w:tblHeader w:val="true"/>
        </w:trPr>
        <w:tc>
          <w:tcPr>
            <w:tcW w:type="dxa" w:w="3061"/>
            <w:shd w:val="clear" w:color="auto" w:fill="0E2A47"/>
          </w:tcPr>
          <w:p>
            <w:r/>
            <w:r>
              <w:rPr>
                <w:b/>
                <w:color w:val="FFFFFF"/>
                <w:sz w:val="17"/>
              </w:rPr>
              <w:t>Critical item</w:t>
            </w:r>
          </w:p>
        </w:tc>
        <w:tc>
          <w:tcPr>
            <w:tcW w:type="dxa" w:w="1247"/>
            <w:shd w:val="clear" w:color="auto" w:fill="0E2A47"/>
          </w:tcPr>
          <w:p>
            <w:r/>
            <w:r>
              <w:rPr>
                <w:b/>
                <w:color w:val="FFFFFF"/>
                <w:sz w:val="17"/>
              </w:rPr>
              <w:t>Planned %</w:t>
            </w:r>
          </w:p>
        </w:tc>
        <w:tc>
          <w:tcPr>
            <w:tcW w:type="dxa" w:w="1247"/>
            <w:shd w:val="clear" w:color="auto" w:fill="0E2A47"/>
          </w:tcPr>
          <w:p>
            <w:r/>
            <w:r>
              <w:rPr>
                <w:b/>
                <w:color w:val="FFFFFF"/>
                <w:sz w:val="17"/>
              </w:rPr>
              <w:t>Measured %</w:t>
            </w:r>
          </w:p>
        </w:tc>
        <w:tc>
          <w:tcPr>
            <w:tcW w:type="dxa" w:w="4309"/>
            <w:shd w:val="clear" w:color="auto" w:fill="0E2A47"/>
          </w:tcPr>
          <w:p>
            <w:r/>
            <w:r>
              <w:rPr>
                <w:b/>
                <w:color w:val="FFFFFF"/>
                <w:sz w:val="17"/>
              </w:rPr>
              <w:t>Note</w:t>
            </w:r>
          </w:p>
        </w:tc>
      </w:tr>
      <w:tr>
        <w:tc>
          <w:tcPr>
            <w:tcW w:type="dxa" w:w="3061"/>
          </w:tcPr>
          <w:p>
            <w:r/>
            <w:r>
              <w:rPr>
                <w:sz w:val="17"/>
              </w:rPr>
              <w:t>Aluminium superstructure (4.4)</w:t>
            </w:r>
          </w:p>
        </w:tc>
        <w:tc>
          <w:tcPr>
            <w:tcW w:type="dxa" w:w="1247"/>
          </w:tcPr>
          <w:p>
            <w:r/>
            <w:r>
              <w:rPr>
                <w:sz w:val="17"/>
              </w:rPr>
              <w:t>86</w:t>
            </w:r>
          </w:p>
        </w:tc>
        <w:tc>
          <w:tcPr>
            <w:tcW w:type="dxa" w:w="1247"/>
          </w:tcPr>
          <w:p>
            <w:r/>
            <w:r>
              <w:rPr>
                <w:sz w:val="17"/>
              </w:rPr>
              <w:t>78</w:t>
            </w:r>
          </w:p>
        </w:tc>
        <w:tc>
          <w:tcPr>
            <w:tcW w:type="dxa" w:w="4309"/>
          </w:tcPr>
          <w:p>
            <w:r/>
            <w:r>
              <w:rPr>
                <w:sz w:val="17"/>
              </w:rPr>
              <w:t>2 sections left to weld and inspect; second shift from week 61</w:t>
            </w:r>
          </w:p>
        </w:tc>
      </w:tr>
      <w:tr>
        <w:tc>
          <w:tcPr>
            <w:tcW w:type="dxa" w:w="3061"/>
          </w:tcPr>
          <w:p>
            <w:r/>
            <w:r>
              <w:rPr>
                <w:sz w:val="17"/>
              </w:rPr>
              <w:t>Generator and stabilizer installation (5.3)</w:t>
            </w:r>
          </w:p>
        </w:tc>
        <w:tc>
          <w:tcPr>
            <w:tcW w:type="dxa" w:w="1247"/>
          </w:tcPr>
          <w:p>
            <w:r/>
            <w:r>
              <w:rPr>
                <w:sz w:val="17"/>
              </w:rPr>
              <w:t>50</w:t>
            </w:r>
          </w:p>
        </w:tc>
        <w:tc>
          <w:tcPr>
            <w:tcW w:type="dxa" w:w="1247"/>
          </w:tcPr>
          <w:p>
            <w:r/>
            <w:r>
              <w:rPr>
                <w:sz w:val="17"/>
              </w:rPr>
              <w:t>40</w:t>
            </w:r>
          </w:p>
        </w:tc>
        <w:tc>
          <w:tcPr>
            <w:tcW w:type="dxa" w:w="4309"/>
          </w:tcPr>
          <w:p>
            <w:r/>
            <w:r>
              <w:rPr>
                <w:sz w:val="17"/>
              </w:rPr>
              <w:t>Generators landed; stabilizers not yet fitted (1 month float)</w:t>
            </w:r>
          </w:p>
        </w:tc>
      </w:tr>
      <w:tr>
        <w:tc>
          <w:tcPr>
            <w:tcW w:type="dxa" w:w="3061"/>
          </w:tcPr>
          <w:p>
            <w:r/>
            <w:r>
              <w:rPr>
                <w:sz w:val="17"/>
              </w:rPr>
              <w:t>Interior detail design (2.4)</w:t>
            </w:r>
          </w:p>
        </w:tc>
        <w:tc>
          <w:tcPr>
            <w:tcW w:type="dxa" w:w="1247"/>
          </w:tcPr>
          <w:p>
            <w:r/>
            <w:r>
              <w:rPr>
                <w:sz w:val="17"/>
              </w:rPr>
              <w:t>100</w:t>
            </w:r>
          </w:p>
        </w:tc>
        <w:tc>
          <w:tcPr>
            <w:tcW w:type="dxa" w:w="1247"/>
          </w:tcPr>
          <w:p>
            <w:r/>
            <w:r>
              <w:rPr>
                <w:sz w:val="17"/>
              </w:rPr>
              <w:t>85</w:t>
            </w:r>
          </w:p>
        </w:tc>
        <w:tc>
          <w:tcPr>
            <w:tcW w:type="dxa" w:w="4309"/>
          </w:tcPr>
          <w:p>
            <w:r/>
            <w:r>
              <w:rPr>
                <w:sz w:val="17"/>
              </w:rPr>
              <w:t>Waiting for D-14 and D-15</w:t>
            </w:r>
          </w:p>
        </w:tc>
      </w:tr>
    </w:tbl>
    <w:p>
      <w:r>
        <w:drawing>
          <wp:inline xmlns:a="http://schemas.openxmlformats.org/drawingml/2006/main" xmlns:pic="http://schemas.openxmlformats.org/drawingml/2006/picture">
            <wp:extent cx="3240000" cy="437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yp48-progress-s-curve-month-14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437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Milestones and payments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67"/>
        <w:gridCol w:w="2438"/>
        <w:gridCol w:w="1191"/>
        <w:gridCol w:w="1928"/>
        <w:gridCol w:w="2268"/>
        <w:gridCol w:w="1474"/>
      </w:tblGrid>
      <w:tr>
        <w:trPr>
          <w:tblHeader w:val="true"/>
        </w:trPr>
        <w:tc>
          <w:tcPr>
            <w:tcW w:type="dxa" w:w="567"/>
            <w:shd w:val="clear" w:color="auto" w:fill="0E2A47"/>
          </w:tcPr>
          <w:p>
            <w:r/>
            <w:r>
              <w:rPr>
                <w:b/>
                <w:color w:val="FFFFFF"/>
                <w:sz w:val="17"/>
              </w:rPr>
              <w:t>No</w:t>
            </w:r>
          </w:p>
        </w:tc>
        <w:tc>
          <w:tcPr>
            <w:tcW w:type="dxa" w:w="2438"/>
            <w:shd w:val="clear" w:color="auto" w:fill="0E2A47"/>
          </w:tcPr>
          <w:p>
            <w:r/>
            <w:r>
              <w:rPr>
                <w:b/>
                <w:color w:val="FFFFFF"/>
                <w:sz w:val="17"/>
              </w:rPr>
              <w:t>Milestone</w:t>
            </w:r>
          </w:p>
        </w:tc>
        <w:tc>
          <w:tcPr>
            <w:tcW w:type="dxa" w:w="1191"/>
            <w:shd w:val="clear" w:color="auto" w:fill="0E2A47"/>
          </w:tcPr>
          <w:p>
            <w:r/>
            <w:r>
              <w:rPr>
                <w:b/>
                <w:color w:val="FFFFFF"/>
                <w:sz w:val="17"/>
              </w:rPr>
              <w:t>Baseline</w:t>
            </w:r>
          </w:p>
        </w:tc>
        <w:tc>
          <w:tcPr>
            <w:tcW w:type="dxa" w:w="1928"/>
            <w:shd w:val="clear" w:color="auto" w:fill="0E2A47"/>
          </w:tcPr>
          <w:p>
            <w:r/>
            <w:r>
              <w:rPr>
                <w:b/>
                <w:color w:val="FFFFFF"/>
                <w:sz w:val="17"/>
              </w:rPr>
              <w:t>Forecast</w:t>
            </w:r>
          </w:p>
        </w:tc>
        <w:tc>
          <w:tcPr>
            <w:tcW w:type="dxa" w:w="2268"/>
            <w:shd w:val="clear" w:color="auto" w:fill="0E2A47"/>
          </w:tcPr>
          <w:p>
            <w:r/>
            <w:r>
              <w:rPr>
                <w:b/>
                <w:color w:val="FFFFFF"/>
                <w:sz w:val="17"/>
              </w:rPr>
              <w:t>Evidence</w:t>
            </w:r>
          </w:p>
        </w:tc>
        <w:tc>
          <w:tcPr>
            <w:tcW w:type="dxa" w:w="1474"/>
            <w:shd w:val="clear" w:color="auto" w:fill="0E2A47"/>
          </w:tcPr>
          <w:p>
            <w:r/>
            <w:r>
              <w:rPr>
                <w:b/>
                <w:color w:val="FFFFFF"/>
                <w:sz w:val="17"/>
              </w:rPr>
              <w:t>Status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7"/>
              </w:rPr>
              <w:t>3</w:t>
            </w:r>
          </w:p>
        </w:tc>
        <w:tc>
          <w:tcPr>
            <w:tcW w:type="dxa" w:w="2438"/>
          </w:tcPr>
          <w:p>
            <w:r/>
            <w:r>
              <w:rPr>
                <w:sz w:val="17"/>
              </w:rPr>
              <w:t>Main engines installed and aligned</w:t>
            </w:r>
          </w:p>
        </w:tc>
        <w:tc>
          <w:tcPr>
            <w:tcW w:type="dxa" w:w="1191"/>
          </w:tcPr>
          <w:p>
            <w:r/>
            <w:r>
              <w:rPr>
                <w:sz w:val="17"/>
              </w:rPr>
              <w:t>Month 14</w:t>
            </w:r>
          </w:p>
        </w:tc>
        <w:tc>
          <w:tcPr>
            <w:tcW w:type="dxa" w:w="1928"/>
          </w:tcPr>
          <w:p>
            <w:r/>
            <w:r>
              <w:rPr>
                <w:sz w:val="17"/>
              </w:rPr>
              <w:t>Month 14</w:t>
            </w:r>
          </w:p>
        </w:tc>
        <w:tc>
          <w:tcPr>
            <w:tcW w:type="dxa" w:w="2268"/>
          </w:tcPr>
          <w:p>
            <w:r/>
            <w:r>
              <w:rPr>
                <w:sz w:val="17"/>
              </w:rPr>
              <w:t>5 of 6 accepted; joint inspection record open</w:t>
            </w:r>
          </w:p>
        </w:tc>
        <w:tc>
          <w:tcPr>
            <w:tcW w:type="dxa" w:w="1474"/>
          </w:tcPr>
          <w:p>
            <w:r/>
            <w:r>
              <w:rPr>
                <w:sz w:val="17"/>
              </w:rPr>
              <w:t>Claimed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7"/>
              </w:rPr>
              <w:t>4</w:t>
            </w:r>
          </w:p>
        </w:tc>
        <w:tc>
          <w:tcPr>
            <w:tcW w:type="dxa" w:w="2438"/>
          </w:tcPr>
          <w:p>
            <w:r/>
            <w:r>
              <w:rPr>
                <w:sz w:val="17"/>
              </w:rPr>
              <w:t>Hull and superstructure joined</w:t>
            </w:r>
          </w:p>
        </w:tc>
        <w:tc>
          <w:tcPr>
            <w:tcW w:type="dxa" w:w="1191"/>
          </w:tcPr>
          <w:p>
            <w:r/>
            <w:r>
              <w:rPr>
                <w:sz w:val="17"/>
              </w:rPr>
              <w:t>Month 16</w:t>
            </w:r>
          </w:p>
        </w:tc>
        <w:tc>
          <w:tcPr>
            <w:tcW w:type="dxa" w:w="1928"/>
          </w:tcPr>
          <w:p>
            <w:r/>
            <w:r>
              <w:rPr>
                <w:sz w:val="17"/>
              </w:rPr>
              <w:t>Yard: month 16. Owner's side: second half of month 16</w:t>
            </w:r>
          </w:p>
        </w:tc>
        <w:tc>
          <w:tcPr>
            <w:tcW w:type="dxa" w:w="2268"/>
          </w:tcPr>
          <w:p>
            <w:r/>
            <w:r>
              <w:rPr>
                <w:sz w:val="17"/>
              </w:rPr>
              <w:t>Not started</w:t>
            </w:r>
          </w:p>
        </w:tc>
        <w:tc>
          <w:tcPr>
            <w:tcW w:type="dxa" w:w="1474"/>
          </w:tcPr>
          <w:p>
            <w:r/>
            <w:r>
              <w:rPr>
                <w:sz w:val="17"/>
              </w:rPr>
              <w:t>Planned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438"/>
          </w:tcPr>
          <w:p>
            <w:r/>
            <w:r>
              <w:rPr>
                <w:sz w:val="17"/>
              </w:rPr>
              <w:t>Hot work complete (not a payment)</w:t>
            </w:r>
          </w:p>
        </w:tc>
        <w:tc>
          <w:tcPr>
            <w:tcW w:type="dxa" w:w="1191"/>
          </w:tcPr>
          <w:p>
            <w:r/>
            <w:r>
              <w:rPr>
                <w:sz w:val="17"/>
              </w:rPr>
              <w:t>Month 16</w:t>
            </w:r>
          </w:p>
        </w:tc>
        <w:tc>
          <w:tcPr>
            <w:tcW w:type="dxa" w:w="1928"/>
          </w:tcPr>
          <w:p>
            <w:r/>
            <w:r>
              <w:rPr>
                <w:sz w:val="17"/>
              </w:rPr>
              <w:t>Moves with milestone 4</w:t>
            </w:r>
          </w:p>
        </w:tc>
        <w:tc>
          <w:tcPr>
            <w:tcW w:type="dxa" w:w="2268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1474"/>
          </w:tcPr>
          <w:p>
            <w:r/>
            <w:r>
              <w:rPr>
                <w:sz w:val="17"/>
              </w:rPr>
              <w:t>Planned</w:t>
            </w:r>
          </w:p>
        </w:tc>
      </w:tr>
    </w:tbl>
    <w:p>
      <w:r>
        <w:rPr>
          <w:color w:val="64748B"/>
          <w:sz w:val="18"/>
        </w:rPr>
        <w:t>Paid to date: 25 of 100 (milestones 1 and 2). Claimed: 15 (milestone 3).</w:t>
      </w:r>
    </w:p>
    <w:p>
      <w:pPr>
        <w:pStyle w:val="Heading2"/>
      </w:pPr>
      <w:r>
        <w:t>Risks and open issues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28"/>
        <w:gridCol w:w="907"/>
        <w:gridCol w:w="3742"/>
        <w:gridCol w:w="1587"/>
      </w:tblGrid>
      <w:tr>
        <w:trPr>
          <w:tblHeader w:val="true"/>
        </w:trPr>
        <w:tc>
          <w:tcPr>
            <w:tcW w:type="dxa" w:w="3628"/>
            <w:shd w:val="clear" w:color="auto" w:fill="0E2A47"/>
          </w:tcPr>
          <w:p>
            <w:r/>
            <w:r>
              <w:rPr>
                <w:b/>
                <w:color w:val="FFFFFF"/>
                <w:sz w:val="17"/>
              </w:rPr>
              <w:t>Top risk</w:t>
            </w:r>
          </w:p>
        </w:tc>
        <w:tc>
          <w:tcPr>
            <w:tcW w:type="dxa" w:w="907"/>
            <w:shd w:val="clear" w:color="auto" w:fill="0E2A47"/>
          </w:tcPr>
          <w:p>
            <w:r/>
            <w:r>
              <w:rPr>
                <w:b/>
                <w:color w:val="FFFFFF"/>
                <w:sz w:val="17"/>
              </w:rPr>
              <w:t>Trend</w:t>
            </w:r>
          </w:p>
        </w:tc>
        <w:tc>
          <w:tcPr>
            <w:tcW w:type="dxa" w:w="3742"/>
            <w:shd w:val="clear" w:color="auto" w:fill="0E2A47"/>
          </w:tcPr>
          <w:p>
            <w:r/>
            <w:r>
              <w:rPr>
                <w:b/>
                <w:color w:val="FFFFFF"/>
                <w:sz w:val="17"/>
              </w:rPr>
              <w:t>Action</w:t>
            </w:r>
          </w:p>
        </w:tc>
        <w:tc>
          <w:tcPr>
            <w:tcW w:type="dxa" w:w="1587"/>
            <w:shd w:val="clear" w:color="auto" w:fill="0E2A47"/>
          </w:tcPr>
          <w:p>
            <w:r/>
            <w:r>
              <w:rPr>
                <w:b/>
                <w:color w:val="FFFFFF"/>
                <w:sz w:val="17"/>
              </w:rPr>
              <w:t>Owner</w:t>
            </w:r>
          </w:p>
        </w:tc>
      </w:tr>
      <w:tr>
        <w:tc>
          <w:tcPr>
            <w:tcW w:type="dxa" w:w="3628"/>
          </w:tcPr>
          <w:p>
            <w:r/>
            <w:r>
              <w:rPr>
                <w:sz w:val="17"/>
              </w:rPr>
              <w:t>Superstructure rate does not recover; joining, paint, launch and delivery move</w:t>
            </w:r>
          </w:p>
        </w:tc>
        <w:tc>
          <w:tcPr>
            <w:tcW w:type="dxa" w:w="907"/>
          </w:tcPr>
          <w:p>
            <w:r/>
            <w:r>
              <w:rPr>
                <w:sz w:val="17"/>
              </w:rPr>
              <w:t>Up</w:t>
            </w:r>
          </w:p>
        </w:tc>
        <w:tc>
          <w:tcPr>
            <w:tcW w:type="dxa" w:w="3742"/>
          </w:tcPr>
          <w:p>
            <w:r/>
            <w:r>
              <w:rPr>
                <w:sz w:val="17"/>
              </w:rPr>
              <w:t>Weekly section count; review recovery at week 63</w:t>
            </w:r>
          </w:p>
        </w:tc>
        <w:tc>
          <w:tcPr>
            <w:tcW w:type="dxa" w:w="1587"/>
          </w:tcPr>
          <w:p>
            <w:r/>
            <w:r>
              <w:rPr>
                <w:sz w:val="17"/>
              </w:rPr>
              <w:t>Yard PM / owner's rep</w:t>
            </w:r>
          </w:p>
        </w:tc>
      </w:tr>
      <w:tr>
        <w:tc>
          <w:tcPr>
            <w:tcW w:type="dxa" w:w="3628"/>
          </w:tcPr>
          <w:p>
            <w:r/>
            <w:r>
              <w:rPr>
                <w:sz w:val="17"/>
              </w:rPr>
              <w:t>Weight margin used up by late interior and exterior requests</w:t>
            </w:r>
          </w:p>
        </w:tc>
        <w:tc>
          <w:tcPr>
            <w:tcW w:type="dxa" w:w="907"/>
          </w:tcPr>
          <w:p>
            <w:r/>
            <w:r>
              <w:rPr>
                <w:sz w:val="17"/>
              </w:rPr>
              <w:t>Same</w:t>
            </w:r>
          </w:p>
        </w:tc>
        <w:tc>
          <w:tcPr>
            <w:tcW w:type="dxa" w:w="3742"/>
          </w:tcPr>
          <w:p>
            <w:r/>
            <w:r>
              <w:rPr>
                <w:sz w:val="17"/>
              </w:rPr>
              <w:t>Every request carries a weight and GT line before decision</w:t>
            </w:r>
          </w:p>
        </w:tc>
        <w:tc>
          <w:tcPr>
            <w:tcW w:type="dxa" w:w="1587"/>
          </w:tcPr>
          <w:p>
            <w:r/>
            <w:r>
              <w:rPr>
                <w:sz w:val="17"/>
              </w:rPr>
              <w:t>Naval architect</w:t>
            </w:r>
          </w:p>
        </w:tc>
      </w:tr>
      <w:tr>
        <w:tc>
          <w:tcPr>
            <w:tcW w:type="dxa" w:w="3628"/>
          </w:tcPr>
          <w:p>
            <w:r/>
            <w:r>
              <w:rPr>
                <w:sz w:val="17"/>
              </w:rPr>
              <w:t>Late AV/IT specification uses the order float</w:t>
            </w:r>
          </w:p>
        </w:tc>
        <w:tc>
          <w:tcPr>
            <w:tcW w:type="dxa" w:w="907"/>
          </w:tcPr>
          <w:p>
            <w:r/>
            <w:r>
              <w:rPr>
                <w:sz w:val="17"/>
              </w:rPr>
              <w:t>Up</w:t>
            </w:r>
          </w:p>
        </w:tc>
        <w:tc>
          <w:tcPr>
            <w:tcW w:type="dxa" w:w="3742"/>
          </w:tcPr>
          <w:p>
            <w:r/>
            <w:r>
              <w:rPr>
                <w:sz w:val="17"/>
              </w:rPr>
              <w:t>D-15 on page 1 until signed</w:t>
            </w:r>
          </w:p>
        </w:tc>
        <w:tc>
          <w:tcPr>
            <w:tcW w:type="dxa" w:w="1587"/>
          </w:tcPr>
          <w:p>
            <w:r/>
            <w:r>
              <w:rPr>
                <w:sz w:val="17"/>
              </w:rPr>
              <w:t>Owner</w:t>
            </w:r>
          </w:p>
        </w:tc>
      </w:tr>
    </w:tbl>
    <w:p>
      <w:r>
        <w:rPr>
          <w:color w:val="64748B"/>
          <w:sz w:val="18"/>
        </w:rPr>
        <w:t>Open issues: 14 open, 3 new, 5 closed this week, oldest 26 days (log in appendix).</w:t>
      </w:r>
    </w:p>
    <w:p>
      <w:pPr>
        <w:pStyle w:val="Heading2"/>
      </w:pPr>
      <w:r>
        <w:t>Look-ahead: next two weeks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5669"/>
        <w:gridCol w:w="2721"/>
      </w:tblGrid>
      <w:tr>
        <w:trPr>
          <w:tblHeader w:val="true"/>
        </w:trPr>
        <w:tc>
          <w:tcPr>
            <w:tcW w:type="dxa" w:w="1474"/>
            <w:shd w:val="clear" w:color="auto" w:fill="0E2A47"/>
          </w:tcPr>
          <w:p>
            <w:r/>
            <w:r>
              <w:rPr>
                <w:b/>
                <w:color w:val="FFFFFF"/>
                <w:sz w:val="17"/>
              </w:rPr>
              <w:t>Date</w:t>
            </w:r>
          </w:p>
        </w:tc>
        <w:tc>
          <w:tcPr>
            <w:tcW w:type="dxa" w:w="5669"/>
            <w:shd w:val="clear" w:color="auto" w:fill="0E2A47"/>
          </w:tcPr>
          <w:p>
            <w:r/>
            <w:r>
              <w:rPr>
                <w:b/>
                <w:color w:val="FFFFFF"/>
                <w:sz w:val="17"/>
              </w:rPr>
              <w:t>Event (inspection, test, delivery, visit)</w:t>
            </w:r>
          </w:p>
        </w:tc>
        <w:tc>
          <w:tcPr>
            <w:tcW w:type="dxa" w:w="2721"/>
            <w:shd w:val="clear" w:color="auto" w:fill="0E2A47"/>
          </w:tcPr>
          <w:p>
            <w:r/>
            <w:r>
              <w:rPr>
                <w:b/>
                <w:color w:val="FFFFFF"/>
                <w:sz w:val="17"/>
              </w:rPr>
              <w:t>Who attends</w:t>
            </w:r>
          </w:p>
        </w:tc>
      </w:tr>
      <w:tr>
        <w:tc>
          <w:tcPr>
            <w:tcW w:type="dxa" w:w="1474"/>
          </w:tcPr>
          <w:p>
            <w:r/>
            <w:r>
              <w:rPr>
                <w:sz w:val="17"/>
              </w:rPr>
              <w:t>Week 62, Tue</w:t>
            </w:r>
          </w:p>
        </w:tc>
        <w:tc>
          <w:tcPr>
            <w:tcW w:type="dxa" w:w="5669"/>
          </w:tcPr>
          <w:p>
            <w:r/>
            <w:r>
              <w:rPr>
                <w:sz w:val="17"/>
              </w:rPr>
              <w:t>Joint inspection, milestone 3 (engine room)</w:t>
            </w:r>
          </w:p>
        </w:tc>
        <w:tc>
          <w:tcPr>
            <w:tcW w:type="dxa" w:w="2721"/>
          </w:tcPr>
          <w:p>
            <w:r/>
            <w:r>
              <w:rPr>
                <w:sz w:val="17"/>
              </w:rPr>
              <w:t>Yard, owner's rep, captain</w:t>
            </w:r>
          </w:p>
        </w:tc>
      </w:tr>
      <w:tr>
        <w:tc>
          <w:tcPr>
            <w:tcW w:type="dxa" w:w="1474"/>
          </w:tcPr>
          <w:p>
            <w:r/>
            <w:r>
              <w:rPr>
                <w:sz w:val="17"/>
              </w:rPr>
              <w:t>Week 62, Thu</w:t>
            </w:r>
          </w:p>
        </w:tc>
        <w:tc>
          <w:tcPr>
            <w:tcW w:type="dxa" w:w="5669"/>
          </w:tcPr>
          <w:p>
            <w:r/>
            <w:r>
              <w:rPr>
                <w:sz w:val="17"/>
              </w:rPr>
              <w:t>Class inspection, superstructure sections</w:t>
            </w:r>
          </w:p>
        </w:tc>
        <w:tc>
          <w:tcPr>
            <w:tcW w:type="dxa" w:w="2721"/>
          </w:tcPr>
          <w:p>
            <w:r/>
            <w:r>
              <w:rPr>
                <w:sz w:val="17"/>
              </w:rPr>
              <w:t>Yard, class; owner's rep attends</w:t>
            </w:r>
          </w:p>
        </w:tc>
      </w:tr>
      <w:tr>
        <w:tc>
          <w:tcPr>
            <w:tcW w:type="dxa" w:w="1474"/>
          </w:tcPr>
          <w:p>
            <w:r/>
            <w:r>
              <w:rPr>
                <w:sz w:val="17"/>
              </w:rPr>
              <w:t>Week 63</w:t>
            </w:r>
          </w:p>
        </w:tc>
        <w:tc>
          <w:tcPr>
            <w:tcW w:type="dxa" w:w="5669"/>
          </w:tcPr>
          <w:p>
            <w:r/>
            <w:r>
              <w:rPr>
                <w:sz w:val="17"/>
              </w:rPr>
              <w:t>Design Studio visit: samples and AV/IT specification</w:t>
            </w:r>
          </w:p>
        </w:tc>
        <w:tc>
          <w:tcPr>
            <w:tcW w:type="dxa" w:w="2721"/>
          </w:tcPr>
          <w:p>
            <w:r/>
            <w:r>
              <w:rPr>
                <w:sz w:val="17"/>
              </w:rPr>
              <w:t>Design Studio, owner's rep, captain</w:t>
            </w:r>
          </w:p>
        </w:tc>
      </w:tr>
      <w:tr>
        <w:tc>
          <w:tcPr>
            <w:tcW w:type="dxa" w:w="1474"/>
          </w:tcPr>
          <w:p>
            <w:r/>
            <w:r>
              <w:rPr>
                <w:sz w:val="17"/>
              </w:rPr>
              <w:t>Week 63, Fri</w:t>
            </w:r>
          </w:p>
        </w:tc>
        <w:tc>
          <w:tcPr>
            <w:tcW w:type="dxa" w:w="5669"/>
          </w:tcPr>
          <w:p>
            <w:r/>
            <w:r>
              <w:rPr>
                <w:sz w:val="17"/>
              </w:rPr>
              <w:t>Superstructure checkpoint (red trigger)</w:t>
            </w:r>
          </w:p>
        </w:tc>
        <w:tc>
          <w:tcPr>
            <w:tcW w:type="dxa" w:w="2721"/>
          </w:tcPr>
          <w:p>
            <w:r/>
            <w:r>
              <w:rPr>
                <w:sz w:val="17"/>
              </w:rPr>
              <w:t>Yard PM, owner's rep</w:t>
            </w:r>
          </w:p>
        </w:tc>
      </w:tr>
    </w:tbl>
    <w:p>
      <w:pPr>
        <w:pStyle w:val="Heading2"/>
      </w:pPr>
      <w:r>
        <w:t>Photo record (captions only in this example)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61"/>
        <w:gridCol w:w="1134"/>
        <w:gridCol w:w="1701"/>
        <w:gridCol w:w="2835"/>
        <w:gridCol w:w="2835"/>
      </w:tblGrid>
      <w:tr>
        <w:trPr>
          <w:tblHeader w:val="true"/>
        </w:trPr>
        <w:tc>
          <w:tcPr>
            <w:tcW w:type="dxa" w:w="1361"/>
            <w:shd w:val="clear" w:color="auto" w:fill="0E2A47"/>
          </w:tcPr>
          <w:p>
            <w:r/>
            <w:r>
              <w:rPr>
                <w:b/>
                <w:color w:val="FFFFFF"/>
                <w:sz w:val="17"/>
              </w:rPr>
              <w:t>Ref</w:t>
            </w:r>
          </w:p>
        </w:tc>
        <w:tc>
          <w:tcPr>
            <w:tcW w:type="dxa" w:w="1134"/>
            <w:shd w:val="clear" w:color="auto" w:fill="0E2A47"/>
          </w:tcPr>
          <w:p>
            <w:r/>
            <w:r>
              <w:rPr>
                <w:b/>
                <w:color w:val="FFFFFF"/>
                <w:sz w:val="17"/>
              </w:rPr>
              <w:t>Date</w:t>
            </w:r>
          </w:p>
        </w:tc>
        <w:tc>
          <w:tcPr>
            <w:tcW w:type="dxa" w:w="1701"/>
            <w:shd w:val="clear" w:color="auto" w:fill="0E2A47"/>
          </w:tcPr>
          <w:p>
            <w:r/>
            <w:r>
              <w:rPr>
                <w:b/>
                <w:color w:val="FFFFFF"/>
                <w:sz w:val="17"/>
              </w:rPr>
              <w:t>Location</w:t>
            </w:r>
          </w:p>
        </w:tc>
        <w:tc>
          <w:tcPr>
            <w:tcW w:type="dxa" w:w="2835"/>
            <w:shd w:val="clear" w:color="auto" w:fill="0E2A47"/>
          </w:tcPr>
          <w:p>
            <w:r/>
            <w:r>
              <w:rPr>
                <w:b/>
                <w:color w:val="FFFFFF"/>
                <w:sz w:val="17"/>
              </w:rPr>
              <w:t>What it shows</w:t>
            </w:r>
          </w:p>
        </w:tc>
        <w:tc>
          <w:tcPr>
            <w:tcW w:type="dxa" w:w="2835"/>
            <w:shd w:val="clear" w:color="auto" w:fill="0E2A47"/>
          </w:tcPr>
          <w:p>
            <w:r/>
            <w:r>
              <w:rPr>
                <w:b/>
                <w:color w:val="FFFFFF"/>
                <w:sz w:val="17"/>
              </w:rPr>
              <w:t>Why it matters</w:t>
            </w:r>
          </w:p>
        </w:tc>
      </w:tr>
      <w:tr>
        <w:tc>
          <w:tcPr>
            <w:tcW w:type="dxa" w:w="1361"/>
          </w:tcPr>
          <w:p>
            <w:r/>
            <w:r>
              <w:rPr>
                <w:sz w:val="17"/>
              </w:rPr>
              <w:t>YP48-W61-01</w:t>
            </w:r>
          </w:p>
        </w:tc>
        <w:tc>
          <w:tcPr>
            <w:tcW w:type="dxa" w:w="1134"/>
          </w:tcPr>
          <w:p>
            <w:r/>
            <w:r>
              <w:rPr>
                <w:sz w:val="17"/>
              </w:rPr>
              <w:t>Week 61</w:t>
            </w:r>
          </w:p>
        </w:tc>
        <w:tc>
          <w:tcPr>
            <w:tcW w:type="dxa" w:w="1701"/>
          </w:tcPr>
          <w:p>
            <w:r/>
            <w:r>
              <w:rPr>
                <w:sz w:val="17"/>
              </w:rPr>
              <w:t>Superstructure, aft</w:t>
            </w:r>
          </w:p>
        </w:tc>
        <w:tc>
          <w:tcPr>
            <w:tcW w:type="dxa" w:w="2835"/>
          </w:tcPr>
          <w:p>
            <w:r/>
            <w:r>
              <w:rPr>
                <w:sz w:val="17"/>
              </w:rPr>
              <w:t>Last two sections tacked, welding started</w:t>
            </w:r>
          </w:p>
        </w:tc>
        <w:tc>
          <w:tcPr>
            <w:tcW w:type="dxa" w:w="2835"/>
          </w:tcPr>
          <w:p>
            <w:r/>
            <w:r>
              <w:rPr>
                <w:sz w:val="17"/>
              </w:rPr>
              <w:t>The critical-path item behind plan</w:t>
            </w:r>
          </w:p>
        </w:tc>
      </w:tr>
      <w:tr>
        <w:tc>
          <w:tcPr>
            <w:tcW w:type="dxa" w:w="1361"/>
          </w:tcPr>
          <w:p>
            <w:r/>
            <w:r>
              <w:rPr>
                <w:sz w:val="17"/>
              </w:rPr>
              <w:t>YP48-W61-02</w:t>
            </w:r>
          </w:p>
        </w:tc>
        <w:tc>
          <w:tcPr>
            <w:tcW w:type="dxa" w:w="1134"/>
          </w:tcPr>
          <w:p>
            <w:r/>
            <w:r>
              <w:rPr>
                <w:sz w:val="17"/>
              </w:rPr>
              <w:t>Week 61</w:t>
            </w:r>
          </w:p>
        </w:tc>
        <w:tc>
          <w:tcPr>
            <w:tcW w:type="dxa" w:w="1701"/>
          </w:tcPr>
          <w:p>
            <w:r/>
            <w:r>
              <w:rPr>
                <w:sz w:val="17"/>
              </w:rPr>
              <w:t>Viewpoint 2, starboard side</w:t>
            </w:r>
          </w:p>
        </w:tc>
        <w:tc>
          <w:tcPr>
            <w:tcW w:type="dxa" w:w="2835"/>
          </w:tcPr>
          <w:p>
            <w:r/>
            <w:r>
              <w:rPr>
                <w:sz w:val="17"/>
              </w:rPr>
              <w:t>Same view as weeks 57 to 60</w:t>
            </w:r>
          </w:p>
        </w:tc>
        <w:tc>
          <w:tcPr>
            <w:tcW w:type="dxa" w:w="2835"/>
          </w:tcPr>
          <w:p>
            <w:r/>
            <w:r>
              <w:rPr>
                <w:sz w:val="17"/>
              </w:rPr>
              <w:t>Shows the week's change</w:t>
            </w:r>
          </w:p>
        </w:tc>
      </w:tr>
      <w:tr>
        <w:tc>
          <w:tcPr>
            <w:tcW w:type="dxa" w:w="1361"/>
          </w:tcPr>
          <w:p>
            <w:r/>
            <w:r>
              <w:rPr>
                <w:sz w:val="17"/>
              </w:rPr>
              <w:t>YP48-W61-03</w:t>
            </w:r>
          </w:p>
        </w:tc>
        <w:tc>
          <w:tcPr>
            <w:tcW w:type="dxa" w:w="1134"/>
          </w:tcPr>
          <w:p>
            <w:r/>
            <w:r>
              <w:rPr>
                <w:sz w:val="17"/>
              </w:rPr>
              <w:t>Week 61</w:t>
            </w:r>
          </w:p>
        </w:tc>
        <w:tc>
          <w:tcPr>
            <w:tcW w:type="dxa" w:w="1701"/>
          </w:tcPr>
          <w:p>
            <w:r/>
            <w:r>
              <w:rPr>
                <w:sz w:val="17"/>
              </w:rPr>
              <w:t>Engine room, port engine</w:t>
            </w:r>
          </w:p>
        </w:tc>
        <w:tc>
          <w:tcPr>
            <w:tcW w:type="dxa" w:w="2835"/>
          </w:tcPr>
          <w:p>
            <w:r/>
            <w:r>
              <w:rPr>
                <w:sz w:val="17"/>
              </w:rPr>
              <w:t>Engine on seating, tag visible, shaft fitted</w:t>
            </w:r>
          </w:p>
        </w:tc>
        <w:tc>
          <w:tcPr>
            <w:tcW w:type="dxa" w:w="2835"/>
          </w:tcPr>
          <w:p>
            <w:r/>
            <w:r>
              <w:rPr>
                <w:sz w:val="17"/>
              </w:rPr>
              <w:t>Supports milestone 3 (not the proof itself)</w:t>
            </w:r>
          </w:p>
        </w:tc>
      </w:tr>
      <w:tr>
        <w:tc>
          <w:tcPr>
            <w:tcW w:type="dxa" w:w="1361"/>
          </w:tcPr>
          <w:p>
            <w:r/>
            <w:r>
              <w:rPr>
                <w:sz w:val="17"/>
              </w:rPr>
              <w:t>YP48-W61-04</w:t>
            </w:r>
          </w:p>
        </w:tc>
        <w:tc>
          <w:tcPr>
            <w:tcW w:type="dxa" w:w="1134"/>
          </w:tcPr>
          <w:p>
            <w:r/>
            <w:r>
              <w:rPr>
                <w:sz w:val="17"/>
              </w:rPr>
              <w:t>Week 61</w:t>
            </w:r>
          </w:p>
        </w:tc>
        <w:tc>
          <w:tcPr>
            <w:tcW w:type="dxa" w:w="1701"/>
          </w:tcPr>
          <w:p>
            <w:r/>
            <w:r>
              <w:rPr>
                <w:sz w:val="17"/>
              </w:rPr>
              <w:t>Engine room, starboard</w:t>
            </w:r>
          </w:p>
        </w:tc>
        <w:tc>
          <w:tcPr>
            <w:tcW w:type="dxa" w:w="2835"/>
          </w:tcPr>
          <w:p>
            <w:r/>
            <w:r>
              <w:rPr>
                <w:sz w:val="17"/>
              </w:rPr>
              <w:t>Generator sets landed</w:t>
            </w:r>
          </w:p>
        </w:tc>
        <w:tc>
          <w:tcPr>
            <w:tcW w:type="dxa" w:w="2835"/>
          </w:tcPr>
          <w:p>
            <w:r/>
            <w:r>
              <w:rPr>
                <w:sz w:val="17"/>
              </w:rPr>
              <w:t>Progress on item 5.3</w:t>
            </w:r>
          </w:p>
        </w:tc>
      </w:tr>
      <w:tr>
        <w:tc>
          <w:tcPr>
            <w:tcW w:type="dxa" w:w="1361"/>
          </w:tcPr>
          <w:p>
            <w:r/>
            <w:r>
              <w:rPr>
                <w:sz w:val="17"/>
              </w:rPr>
              <w:t>YP48-W61-05</w:t>
            </w:r>
          </w:p>
        </w:tc>
        <w:tc>
          <w:tcPr>
            <w:tcW w:type="dxa" w:w="1134"/>
          </w:tcPr>
          <w:p>
            <w:r/>
            <w:r>
              <w:rPr>
                <w:sz w:val="17"/>
              </w:rPr>
              <w:t>Week 61</w:t>
            </w:r>
          </w:p>
        </w:tc>
        <w:tc>
          <w:tcPr>
            <w:tcW w:type="dxa" w:w="1701"/>
          </w:tcPr>
          <w:p>
            <w:r/>
            <w:r>
              <w:rPr>
                <w:sz w:val="17"/>
              </w:rPr>
              <w:t>Yard store</w:t>
            </w:r>
          </w:p>
        </w:tc>
        <w:tc>
          <w:tcPr>
            <w:tcW w:type="dxa" w:w="2835"/>
          </w:tcPr>
          <w:p>
            <w:r/>
            <w:r>
              <w:rPr>
                <w:sz w:val="17"/>
              </w:rPr>
              <w:t>Stabilizer units in storage, covered</w:t>
            </w:r>
          </w:p>
        </w:tc>
        <w:tc>
          <w:tcPr>
            <w:tcW w:type="dxa" w:w="2835"/>
          </w:tcPr>
          <w:p>
            <w:r/>
            <w:r>
              <w:rPr>
                <w:sz w:val="17"/>
              </w:rPr>
              <w:t>Equipment protection</w:t>
            </w:r>
          </w:p>
        </w:tc>
      </w:tr>
      <w:tr>
        <w:tc>
          <w:tcPr>
            <w:tcW w:type="dxa" w:w="1361"/>
          </w:tcPr>
          <w:p>
            <w:r/>
            <w:r>
              <w:rPr>
                <w:sz w:val="17"/>
              </w:rPr>
              <w:t>YP48-W61-06</w:t>
            </w:r>
          </w:p>
        </w:tc>
        <w:tc>
          <w:tcPr>
            <w:tcW w:type="dxa" w:w="1134"/>
          </w:tcPr>
          <w:p>
            <w:r/>
            <w:r>
              <w:rPr>
                <w:sz w:val="17"/>
              </w:rPr>
              <w:t>Week 61</w:t>
            </w:r>
          </w:p>
        </w:tc>
        <w:tc>
          <w:tcPr>
            <w:tcW w:type="dxa" w:w="1701"/>
          </w:tcPr>
          <w:p>
            <w:r/>
            <w:r>
              <w:rPr>
                <w:sz w:val="17"/>
              </w:rPr>
              <w:t>Joinery workshop</w:t>
            </w:r>
          </w:p>
        </w:tc>
        <w:tc>
          <w:tcPr>
            <w:tcW w:type="dxa" w:w="2835"/>
          </w:tcPr>
          <w:p>
            <w:r/>
            <w:r>
              <w:rPr>
                <w:sz w:val="17"/>
              </w:rPr>
              <w:t>Guest cabin panels in prefabrication</w:t>
            </w:r>
          </w:p>
        </w:tc>
        <w:tc>
          <w:tcPr>
            <w:tcW w:type="dxa" w:w="2835"/>
          </w:tcPr>
          <w:p>
            <w:r/>
            <w:r>
              <w:rPr>
                <w:sz w:val="17"/>
              </w:rPr>
              <w:t>Package at 85%</w:t>
            </w:r>
          </w:p>
        </w:tc>
      </w:tr>
    </w:tbl>
    <w:p>
      <w:r>
        <w:br w:type="page"/>
      </w:r>
    </w:p>
    <w:p>
      <w:pPr>
        <w:pStyle w:val="Heading1"/>
      </w:pPr>
      <w:r>
        <w:t>Part C: Traffic-light rules</w:t>
      </w:r>
    </w:p>
    <w:p>
      <w:r>
        <w:rPr>
          <w:color w:val="64748B"/>
          <w:sz w:val="18"/>
        </w:rPr>
        <w:t>Agree these with the Owner before the first report. The YP-48 thresholds are illustrative; set your own. A colour follows the current record, not the promise: a recovery plan earns amber once it is resourced, dated and started.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01"/>
        <w:gridCol w:w="2608"/>
        <w:gridCol w:w="2778"/>
        <w:gridCol w:w="2778"/>
      </w:tblGrid>
      <w:tr>
        <w:trPr>
          <w:tblHeader w:val="true"/>
        </w:trPr>
        <w:tc>
          <w:tcPr>
            <w:tcW w:type="dxa" w:w="1701"/>
            <w:shd w:val="clear" w:color="auto" w:fill="0E2A47"/>
          </w:tcPr>
          <w:p>
            <w:r/>
            <w:r>
              <w:rPr>
                <w:b/>
                <w:color w:val="FFFFFF"/>
                <w:sz w:val="17"/>
              </w:rPr>
              <w:t>Dimension</w:t>
            </w:r>
          </w:p>
        </w:tc>
        <w:tc>
          <w:tcPr>
            <w:tcW w:type="dxa" w:w="2608"/>
            <w:shd w:val="clear" w:color="auto" w:fill="0E2A47"/>
          </w:tcPr>
          <w:p>
            <w:r/>
            <w:r>
              <w:rPr>
                <w:b/>
                <w:color w:val="FFFFFF"/>
                <w:sz w:val="17"/>
              </w:rPr>
              <w:t>Green</w:t>
            </w:r>
          </w:p>
        </w:tc>
        <w:tc>
          <w:tcPr>
            <w:tcW w:type="dxa" w:w="2778"/>
            <w:shd w:val="clear" w:color="auto" w:fill="0E2A47"/>
          </w:tcPr>
          <w:p>
            <w:r/>
            <w:r>
              <w:rPr>
                <w:b/>
                <w:color w:val="FFFFFF"/>
                <w:sz w:val="17"/>
              </w:rPr>
              <w:t>Amber</w:t>
            </w:r>
          </w:p>
        </w:tc>
        <w:tc>
          <w:tcPr>
            <w:tcW w:type="dxa" w:w="2778"/>
            <w:shd w:val="clear" w:color="auto" w:fill="0E2A47"/>
          </w:tcPr>
          <w:p>
            <w:r/>
            <w:r>
              <w:rPr>
                <w:b/>
                <w:color w:val="FFFFFF"/>
                <w:sz w:val="17"/>
              </w:rPr>
              <w:t>Red</w:t>
            </w:r>
          </w:p>
        </w:tc>
      </w:tr>
      <w:tr>
        <w:tc>
          <w:tcPr>
            <w:tcW w:type="dxa" w:w="1701"/>
          </w:tcPr>
          <w:p>
            <w:r/>
            <w:r>
              <w:rPr>
                <w:sz w:val="17"/>
              </w:rPr>
              <w:t>Schedule</w:t>
            </w:r>
          </w:p>
        </w:tc>
        <w:tc>
          <w:tcPr>
            <w:tcW w:type="dxa" w:w="2608"/>
            <w:shd w:val="clear" w:color="auto" w:fill="D5EFE0"/>
          </w:tcPr>
          <w:p>
            <w:r/>
            <w:r>
              <w:rPr>
                <w:sz w:val="17"/>
              </w:rPr>
              <w:t>Critical path forecast on or before baseline; index 0.97 or above</w:t>
            </w:r>
          </w:p>
        </w:tc>
        <w:tc>
          <w:tcPr>
            <w:tcW w:type="dxa" w:w="2778"/>
            <w:shd w:val="clear" w:color="auto" w:fill="FBE3D2"/>
          </w:tcPr>
          <w:p>
            <w:r/>
            <w:r>
              <w:rPr>
                <w:sz w:val="17"/>
              </w:rPr>
              <w:t>Critical path behind, with a recovery plan that is resourced, dated and started; or index 0.90 to 0.97</w:t>
            </w:r>
          </w:p>
        </w:tc>
        <w:tc>
          <w:tcPr>
            <w:tcW w:type="dxa" w:w="2778"/>
            <w:shd w:val="clear" w:color="auto" w:fill="F6D5D1"/>
          </w:tcPr>
          <w:p>
            <w:r/>
            <w:r>
              <w:rPr>
                <w:sz w:val="17"/>
              </w:rPr>
              <w:t>Forecast delivery after the contract date on current performance; or no realistic recovery plan; or index below 0.90</w:t>
            </w:r>
          </w:p>
        </w:tc>
      </w:tr>
      <w:tr>
        <w:tc>
          <w:tcPr>
            <w:tcW w:type="dxa" w:w="1701"/>
          </w:tcPr>
          <w:p>
            <w:r/>
            <w:r>
              <w:rPr>
                <w:sz w:val="17"/>
              </w:rPr>
              <w:t>Milestones and payments</w:t>
            </w:r>
          </w:p>
        </w:tc>
        <w:tc>
          <w:tcPr>
            <w:tcW w:type="dxa" w:w="2608"/>
            <w:shd w:val="clear" w:color="auto" w:fill="D5EFE0"/>
          </w:tcPr>
          <w:p>
            <w:r/>
            <w:r>
              <w:rPr>
                <w:sz w:val="17"/>
              </w:rPr>
              <w:t>Next milestone forecast on its date; evidence on track</w:t>
            </w:r>
          </w:p>
        </w:tc>
        <w:tc>
          <w:tcPr>
            <w:tcW w:type="dxa" w:w="2778"/>
            <w:shd w:val="clear" w:color="auto" w:fill="FBE3D2"/>
          </w:tcPr>
          <w:p>
            <w:r/>
            <w:r>
              <w:rPr>
                <w:sz w:val="17"/>
              </w:rPr>
              <w:t>Evidence item overdue, or a milestone forecast late without moving delivery</w:t>
            </w:r>
          </w:p>
        </w:tc>
        <w:tc>
          <w:tcPr>
            <w:tcW w:type="dxa" w:w="2778"/>
            <w:shd w:val="clear" w:color="auto" w:fill="F6D5D1"/>
          </w:tcPr>
          <w:p>
            <w:r/>
            <w:r>
              <w:rPr>
                <w:sz w:val="17"/>
              </w:rPr>
              <w:t>Milestone claim disputed, or forecast late in a way that moves delivery</w:t>
            </w:r>
          </w:p>
        </w:tc>
      </w:tr>
      <w:tr>
        <w:tc>
          <w:tcPr>
            <w:tcW w:type="dxa" w:w="1701"/>
          </w:tcPr>
          <w:p>
            <w:r/>
            <w:r>
              <w:rPr>
                <w:sz w:val="17"/>
              </w:rPr>
              <w:t>Design, GT and weight</w:t>
            </w:r>
          </w:p>
        </w:tc>
        <w:tc>
          <w:tcPr>
            <w:tcW w:type="dxa" w:w="2608"/>
            <w:shd w:val="clear" w:color="auto" w:fill="D5EFE0"/>
          </w:tcPr>
          <w:p>
            <w:r/>
            <w:r>
              <w:rPr>
                <w:sz w:val="17"/>
              </w:rPr>
              <w:t>Both margins above warning thresholds</w:t>
            </w:r>
          </w:p>
        </w:tc>
        <w:tc>
          <w:tcPr>
            <w:tcW w:type="dxa" w:w="2778"/>
            <w:shd w:val="clear" w:color="auto" w:fill="FBE3D2"/>
          </w:tcPr>
          <w:p>
            <w:r/>
            <w:r>
              <w:rPr>
                <w:sz w:val="17"/>
              </w:rPr>
              <w:t>A margin inside its warning band</w:t>
            </w:r>
          </w:p>
        </w:tc>
        <w:tc>
          <w:tcPr>
            <w:tcW w:type="dxa" w:w="2778"/>
            <w:shd w:val="clear" w:color="auto" w:fill="F6D5D1"/>
          </w:tcPr>
          <w:p>
            <w:r/>
            <w:r>
              <w:rPr>
                <w:sz w:val="17"/>
              </w:rPr>
              <w:t>Estimate above the GT target or the weight budget</w:t>
            </w:r>
          </w:p>
        </w:tc>
      </w:tr>
      <w:tr>
        <w:tc>
          <w:tcPr>
            <w:tcW w:type="dxa" w:w="1701"/>
          </w:tcPr>
          <w:p>
            <w:r/>
            <w:r>
              <w:rPr>
                <w:sz w:val="17"/>
              </w:rPr>
              <w:t>Quality</w:t>
            </w:r>
          </w:p>
        </w:tc>
        <w:tc>
          <w:tcPr>
            <w:tcW w:type="dxa" w:w="2608"/>
            <w:shd w:val="clear" w:color="auto" w:fill="D5EFE0"/>
          </w:tcPr>
          <w:p>
            <w:r/>
            <w:r>
              <w:rPr>
                <w:sz w:val="17"/>
              </w:rPr>
              <w:t>Findings closed within the agreed period</w:t>
            </w:r>
          </w:p>
        </w:tc>
        <w:tc>
          <w:tcPr>
            <w:tcW w:type="dxa" w:w="2778"/>
            <w:shd w:val="clear" w:color="auto" w:fill="FBE3D2"/>
          </w:tcPr>
          <w:p>
            <w:r/>
            <w:r>
              <w:rPr>
                <w:sz w:val="17"/>
              </w:rPr>
              <w:t>Findings overdue, or a repeat finding</w:t>
            </w:r>
          </w:p>
        </w:tc>
        <w:tc>
          <w:tcPr>
            <w:tcW w:type="dxa" w:w="2778"/>
            <w:shd w:val="clear" w:color="auto" w:fill="F6D5D1"/>
          </w:tcPr>
          <w:p>
            <w:r/>
            <w:r>
              <w:rPr>
                <w:sz w:val="17"/>
              </w:rPr>
              <w:t>A finding that blocks a milestone or a class approval</w:t>
            </w:r>
          </w:p>
        </w:tc>
      </w:tr>
      <w:tr>
        <w:tc>
          <w:tcPr>
            <w:tcW w:type="dxa" w:w="1701"/>
          </w:tcPr>
          <w:p>
            <w:r/>
            <w:r>
              <w:rPr>
                <w:sz w:val="17"/>
              </w:rPr>
              <w:t>Changes</w:t>
            </w:r>
          </w:p>
        </w:tc>
        <w:tc>
          <w:tcPr>
            <w:tcW w:type="dxa" w:w="2608"/>
            <w:shd w:val="clear" w:color="auto" w:fill="D5EFE0"/>
          </w:tcPr>
          <w:p>
            <w:r/>
            <w:r>
              <w:rPr>
                <w:sz w:val="17"/>
              </w:rPr>
              <w:t>All changes priced and signed before work</w:t>
            </w:r>
          </w:p>
        </w:tc>
        <w:tc>
          <w:tcPr>
            <w:tcW w:type="dxa" w:w="2778"/>
            <w:shd w:val="clear" w:color="auto" w:fill="FBE3D2"/>
          </w:tcPr>
          <w:p>
            <w:r/>
            <w:r>
              <w:rPr>
                <w:sz w:val="17"/>
              </w:rPr>
              <w:t>Work proceeding on an instruction not yet priced</w:t>
            </w:r>
          </w:p>
        </w:tc>
        <w:tc>
          <w:tcPr>
            <w:tcW w:type="dxa" w:w="2778"/>
            <w:shd w:val="clear" w:color="auto" w:fill="F6D5D1"/>
          </w:tcPr>
          <w:p>
            <w:r/>
            <w:r>
              <w:rPr>
                <w:sz w:val="17"/>
              </w:rPr>
              <w:t>A disputed variation affecting price or delivery</w:t>
            </w:r>
          </w:p>
        </w:tc>
      </w:tr>
    </w:tbl>
    <w:p>
      <w:pPr>
        <w:pStyle w:val="Heading2"/>
      </w:pPr>
      <w:r>
        <w:t>Your rules (Blank)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01"/>
        <w:gridCol w:w="2608"/>
        <w:gridCol w:w="2778"/>
        <w:gridCol w:w="2778"/>
      </w:tblGrid>
      <w:tr>
        <w:trPr>
          <w:tblHeader w:val="true"/>
        </w:trPr>
        <w:tc>
          <w:tcPr>
            <w:tcW w:type="dxa" w:w="1701"/>
            <w:shd w:val="clear" w:color="auto" w:fill="0E2A47"/>
          </w:tcPr>
          <w:p>
            <w:r/>
            <w:r>
              <w:rPr>
                <w:b/>
                <w:color w:val="FFFFFF"/>
                <w:sz w:val="17"/>
              </w:rPr>
              <w:t>Dimension</w:t>
            </w:r>
          </w:p>
        </w:tc>
        <w:tc>
          <w:tcPr>
            <w:tcW w:type="dxa" w:w="2608"/>
            <w:shd w:val="clear" w:color="auto" w:fill="0E2A47"/>
          </w:tcPr>
          <w:p>
            <w:r/>
            <w:r>
              <w:rPr>
                <w:b/>
                <w:color w:val="FFFFFF"/>
                <w:sz w:val="17"/>
              </w:rPr>
              <w:t>Green</w:t>
            </w:r>
          </w:p>
        </w:tc>
        <w:tc>
          <w:tcPr>
            <w:tcW w:type="dxa" w:w="2778"/>
            <w:shd w:val="clear" w:color="auto" w:fill="0E2A47"/>
          </w:tcPr>
          <w:p>
            <w:r/>
            <w:r>
              <w:rPr>
                <w:b/>
                <w:color w:val="FFFFFF"/>
                <w:sz w:val="17"/>
              </w:rPr>
              <w:t>Amber</w:t>
            </w:r>
          </w:p>
        </w:tc>
        <w:tc>
          <w:tcPr>
            <w:tcW w:type="dxa" w:w="2778"/>
            <w:shd w:val="clear" w:color="auto" w:fill="0E2A47"/>
          </w:tcPr>
          <w:p>
            <w:r/>
            <w:r>
              <w:rPr>
                <w:b/>
                <w:color w:val="FFFFFF"/>
                <w:sz w:val="17"/>
              </w:rPr>
              <w:t>Red</w:t>
            </w:r>
          </w:p>
        </w:tc>
      </w:tr>
      <w:tr>
        <w:trPr>
          <w:trHeight w:val="680"/>
        </w:trPr>
        <w:tc>
          <w:tcPr>
            <w:tcW w:type="dxa" w:w="1701"/>
          </w:tcPr>
          <w:p>
            <w:r/>
            <w:r>
              <w:rPr>
                <w:sz w:val="17"/>
              </w:rPr>
              <w:t>Schedule</w:t>
            </w:r>
          </w:p>
        </w:tc>
        <w:tc>
          <w:tcPr>
            <w:tcW w:type="dxa" w:w="2608"/>
            <w:shd w:val="clear" w:color="auto" w:fill="D5EFE0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778"/>
            <w:shd w:val="clear" w:color="auto" w:fill="FBE3D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778"/>
            <w:shd w:val="clear" w:color="auto" w:fill="F6D5D1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680"/>
        </w:trPr>
        <w:tc>
          <w:tcPr>
            <w:tcW w:type="dxa" w:w="1701"/>
          </w:tcPr>
          <w:p>
            <w:r/>
            <w:r>
              <w:rPr>
                <w:sz w:val="17"/>
              </w:rPr>
              <w:t>Milestones and payments</w:t>
            </w:r>
          </w:p>
        </w:tc>
        <w:tc>
          <w:tcPr>
            <w:tcW w:type="dxa" w:w="2608"/>
            <w:shd w:val="clear" w:color="auto" w:fill="D5EFE0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778"/>
            <w:shd w:val="clear" w:color="auto" w:fill="FBE3D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778"/>
            <w:shd w:val="clear" w:color="auto" w:fill="F6D5D1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680"/>
        </w:trPr>
        <w:tc>
          <w:tcPr>
            <w:tcW w:type="dxa" w:w="1701"/>
          </w:tcPr>
          <w:p>
            <w:r/>
            <w:r>
              <w:rPr>
                <w:sz w:val="17"/>
              </w:rPr>
              <w:t>Design, GT and weight</w:t>
            </w:r>
          </w:p>
        </w:tc>
        <w:tc>
          <w:tcPr>
            <w:tcW w:type="dxa" w:w="2608"/>
            <w:shd w:val="clear" w:color="auto" w:fill="D5EFE0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778"/>
            <w:shd w:val="clear" w:color="auto" w:fill="FBE3D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778"/>
            <w:shd w:val="clear" w:color="auto" w:fill="F6D5D1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680"/>
        </w:trPr>
        <w:tc>
          <w:tcPr>
            <w:tcW w:type="dxa" w:w="1701"/>
          </w:tcPr>
          <w:p>
            <w:r/>
            <w:r>
              <w:rPr>
                <w:sz w:val="17"/>
              </w:rPr>
              <w:t>Quality</w:t>
            </w:r>
          </w:p>
        </w:tc>
        <w:tc>
          <w:tcPr>
            <w:tcW w:type="dxa" w:w="2608"/>
            <w:shd w:val="clear" w:color="auto" w:fill="D5EFE0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778"/>
            <w:shd w:val="clear" w:color="auto" w:fill="FBE3D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778"/>
            <w:shd w:val="clear" w:color="auto" w:fill="F6D5D1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680"/>
        </w:trPr>
        <w:tc>
          <w:tcPr>
            <w:tcW w:type="dxa" w:w="1701"/>
          </w:tcPr>
          <w:p>
            <w:r/>
            <w:r>
              <w:rPr>
                <w:sz w:val="17"/>
              </w:rPr>
              <w:t>Changes</w:t>
            </w:r>
          </w:p>
        </w:tc>
        <w:tc>
          <w:tcPr>
            <w:tcW w:type="dxa" w:w="2608"/>
            <w:shd w:val="clear" w:color="auto" w:fill="D5EFE0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778"/>
            <w:shd w:val="clear" w:color="auto" w:fill="FBE3D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778"/>
            <w:shd w:val="clear" w:color="auto" w:fill="F6D5D1"/>
          </w:tcPr>
          <w:p>
            <w:r/>
            <w:r>
              <w:rPr>
                <w:sz w:val="17"/>
              </w:rPr>
            </w:r>
          </w:p>
        </w:tc>
      </w:tr>
      <w:tr>
        <w:trPr>
          <w:trHeight w:val="680"/>
        </w:trPr>
        <w:tc>
          <w:tcPr>
            <w:tcW w:type="dxa" w:w="1701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608"/>
            <w:shd w:val="clear" w:color="auto" w:fill="D5EFE0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778"/>
            <w:shd w:val="clear" w:color="auto" w:fill="FBE3D2"/>
          </w:tcPr>
          <w:p>
            <w:r/>
            <w:r>
              <w:rPr>
                <w:sz w:val="17"/>
              </w:rPr>
            </w:r>
          </w:p>
        </w:tc>
        <w:tc>
          <w:tcPr>
            <w:tcW w:type="dxa" w:w="2778"/>
            <w:shd w:val="clear" w:color="auto" w:fill="F6D5D1"/>
          </w:tcPr>
          <w:p>
            <w:r/>
            <w:r>
              <w:rPr>
                <w:sz w:val="17"/>
              </w:rPr>
            </w:r>
          </w:p>
        </w:tc>
      </w:tr>
    </w:tbl>
    <w:p>
      <w:pPr>
        <w:pStyle w:val="ListBullet"/>
      </w:pPr>
      <w:r>
        <w:t>Rate each dimension separately; do not average colours. If you show an overall colour, use the worst of schedule, milestones and quality, or explain why not.</w:t>
      </w:r>
    </w:p>
    <w:p>
      <w:pPr>
        <w:pStyle w:val="ListBullet"/>
      </w:pPr>
      <w:r>
        <w:t>Explain every change of colour in one line: what changed and what would change it back.</w:t>
      </w:r>
    </w:p>
    <w:p>
      <w:pPr>
        <w:pStyle w:val="ListBullet"/>
      </w:pPr>
      <w:r>
        <w:t>Do not leave a dimension amber for months: the recovery either works or the colour moves.</w:t>
      </w:r>
    </w:p>
    <w:sectPr w:rsidR="00FC693F" w:rsidRPr="0006063C" w:rsidSect="00034616">
      <w:footerReference w:type="default" r:id="rId9"/>
      <w:headerReference w:type="default" r:id="rId10"/>
      <w:pgSz w:w="11906" w:h="16838"/>
      <w:pgMar w:top="850" w:right="850" w:bottom="850" w:left="850" w:header="454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T10 Weekly Owner Report | project2-me.com | TPL-SPM-T10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Look w:firstColumn="1" w:firstRow="1" w:lastColumn="0" w:lastRow="0" w:noHBand="0" w:noVBand="1" w:val="04A0"/>
    </w:tblPr>
    <w:tblGrid>
      <w:gridCol w:w="5103"/>
      <w:gridCol w:w="5103"/>
    </w:tblGrid>
    <w:tr>
      <w:tc>
        <w:tcPr>
          <w:tcW w:type="dxa" w:w="5103"/>
        </w:tcPr>
        <w:p>
          <w:r>
            <w:drawing>
              <wp:inline xmlns:a="http://schemas.openxmlformats.org/drawingml/2006/main" xmlns:pic="http://schemas.openxmlformats.org/drawingml/2006/picture">
                <wp:extent cx="1525847" cy="342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p2m-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25847" cy="34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103"/>
        </w:tcPr>
        <w:p>
          <w:pPr>
            <w:jc w:val="right"/>
          </w:pPr>
          <w:r>
            <w:rPr>
              <w:color w:val="64748B"/>
              <w:sz w:val="16"/>
            </w:rPr>
            <w:t>TPL-SPM-T10  |  project2-me.com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E2A47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E2A4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