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E8772E"/>
        <w:spacing w:after="0"/>
      </w:pPr>
      <w:r>
        <w:rPr>
          <w:sz w:val="8"/>
        </w:rPr>
        <w:t xml:space="preserve"> </w:t>
      </w:r>
    </w:p>
    <w:p>
      <w:pPr>
        <w:shd w:val="clear" w:color="auto" w:fill="0E2A47"/>
        <w:spacing w:before="0" w:after="0"/>
        <w:ind w:left="113"/>
      </w:pPr>
      <w:r>
        <w:rPr>
          <w:b/>
          <w:i w:val="0"/>
          <w:color w:val="FFFFFF"/>
          <w:sz w:val="32"/>
        </w:rPr>
        <w:t>T5 Yacht Build Contract Review Checklist</w:t>
      </w:r>
    </w:p>
    <w:p>
      <w:pPr>
        <w:shd w:val="clear" w:color="auto" w:fill="143A61"/>
        <w:spacing w:before="0" w:after="0"/>
        <w:ind w:left="113"/>
      </w:pPr>
      <w:r>
        <w:rPr>
          <w:b w:val="0"/>
          <w:i/>
          <w:color w:val="FFFFFF"/>
          <w:sz w:val="18"/>
        </w:rPr>
        <w:t>Superyacht Project Management | Free PM Templates &amp; Documents for Yacht and Shipyard Projects</w:t>
      </w:r>
    </w:p>
    <w:p>
      <w:pPr>
        <w:spacing w:after="40"/>
      </w:pPr>
    </w:p>
    <w:p>
      <w:r>
        <w:rPr>
          <w:b/>
          <w:sz w:val="19"/>
        </w:rPr>
        <w:t xml:space="preserve">Important. </w:t>
      </w:r>
      <w:r>
        <w:rPr>
          <w:color w:val="64748B"/>
          <w:sz w:val="19"/>
        </w:rPr>
        <w:t>Not legal advice. This checklist helps a project team read a yacht build contract for plannability and risk. Anything with legal consequences must be reviewed by specialist maritime counsel. Typical terms vary; every contract is negotiated.</w:t>
      </w:r>
    </w:p>
    <w:p>
      <w:r>
        <w:rPr>
          <w:color w:val="64748B"/>
          <w:sz w:val="19"/>
        </w:rPr>
        <w:t>Companion to the lesson 'Reviewing a Yacht Yard House Contract: A Clause-by-Clause Checklist' (Superyacht Project Management series, project2-me.com).</w:t>
      </w:r>
    </w:p>
    <w:p>
      <w:pPr>
        <w:pStyle w:val="Heading1"/>
      </w:pPr>
      <w:r>
        <w:t>How to use this checklist</w:t>
      </w:r>
    </w:p>
    <w:p>
      <w:pPr>
        <w:pStyle w:val="ListBullet"/>
      </w:pPr>
      <w:r>
        <w:t>Review the contract together with the specification, general arrangement, makers list and all annexes.</w:t>
      </w:r>
    </w:p>
    <w:p>
      <w:pPr>
        <w:pStyle w:val="ListBullet"/>
      </w:pPr>
      <w:r>
        <w:t>For each question, note the clause reference and what the draft says. Leave nothing blank: write 'not addressed' if the draft is silent.</w:t>
      </w:r>
    </w:p>
    <w:p>
      <w:pPr>
        <w:pStyle w:val="ListBullet"/>
      </w:pPr>
      <w:r>
        <w:t>Rate the risk: H = do not sign as drafted; M = change needed, fallback acceptable; L = clarification or wording.</w:t>
      </w:r>
    </w:p>
    <w:p>
      <w:pPr>
        <w:pStyle w:val="ListBullet"/>
      </w:pPr>
      <w:r>
        <w:t>Copy every H and M item into the findings log (Part B) with a proposed change and an owner.</w:t>
      </w:r>
    </w:p>
    <w:p>
      <w:pPr>
        <w:pStyle w:val="ListBullet"/>
      </w:pPr>
      <w:r>
        <w:t>Re-run the checklist on every redraft. Compare each version with the previous one.</w:t>
      </w:r>
    </w:p>
    <w:p>
      <w:pPr>
        <w:pStyle w:val="Heading1"/>
      </w:pPr>
      <w:r>
        <w:t>Review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1622"/>
      </w:tblGrid>
      <w:tr>
        <w:trPr>
          <w:tblHeader w:val="true"/>
        </w:trPr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1162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Entry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Project / hull</w:t>
            </w:r>
          </w:p>
        </w:tc>
        <w:tc>
          <w:tcPr>
            <w:tcW w:type="dxa" w:w="11622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Yard</w:t>
            </w:r>
          </w:p>
        </w:tc>
        <w:tc>
          <w:tcPr>
            <w:tcW w:type="dxa" w:w="11622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Draft version and date reviewed</w:t>
            </w:r>
          </w:p>
        </w:tc>
        <w:tc>
          <w:tcPr>
            <w:tcW w:type="dxa" w:w="11622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Documents in the package</w:t>
            </w:r>
          </w:p>
        </w:tc>
        <w:tc>
          <w:tcPr>
            <w:tcW w:type="dxa" w:w="11622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Reviewers (PM, owner's rep, counsel)</w:t>
            </w:r>
          </w:p>
        </w:tc>
        <w:tc>
          <w:tcPr>
            <w:tcW w:type="dxa" w:w="11622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Class society / notation named in draft</w:t>
            </w:r>
          </w:p>
        </w:tc>
        <w:tc>
          <w:tcPr>
            <w:tcW w:type="dxa" w:w="11622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Flag named in draft</w:t>
            </w:r>
          </w:p>
        </w:tc>
        <w:tc>
          <w:tcPr>
            <w:tcW w:type="dxa" w:w="11622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Report due to owner</w:t>
            </w:r>
          </w:p>
        </w:tc>
        <w:tc>
          <w:tcPr>
            <w:tcW w:type="dxa" w:w="11622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Part A: Checklist (Blank)</w:t>
      </w:r>
    </w:p>
    <w:p>
      <w:pPr>
        <w:pStyle w:val="Heading2"/>
      </w:pPr>
      <w:r>
        <w:t>Price, scope and inclusions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A1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What does the price include and exclude (design, class and flag fees, trials, delivery place, training, spares, loose items, tenders)?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A2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Which allowances or provisional sums exist, what is their basis, who approves spend, who keeps the balance?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A3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Can the price move (escalation, currency, taxes and duties)? Under which conditions?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A4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Which specification items are still 'to be agreed', and by what date?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A5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Are finish and comfort standards measurable, or written as adjectives?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Payments and milestones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B1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Is each milestone a completed, provable event rather than a date or the start of a phase?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B2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Who certifies each milestone (owner's representative, class) and with what evidence?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B3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Is the cumulative amount paid at each stage in line with the value built?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B4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What happens if the owner disputes a milestone claim (partial release, expert route, time)?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B5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Payment method (transfer, escrow, letter of credit) and documents that trigger payment?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B6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Late-payment interest and yard's right to suspend work: periods and notices?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Title, security and refund guarantee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C1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Which security does the owner get: refund guarantee, title during build, registered interest, combination?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C2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Refund guarantee: issuer, amount (does it step up?), interest, governing law?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C3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Is the guarantee irrevocable and payable on demand, or only after an award or judgment?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C4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Does the guarantee stay valid until any cancellation dispute is resolved? Which events allow a call?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C5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Do contract amendments need the guarantor's consent, or can they weaken the guarantee?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C6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If title passes during build: how, how registered, and does it cover uninstalled materials and owner items?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C7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Builder's risk insurance: amount, insured parties, loss payee, total loss before delivery?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Delivery date, delay and liquidated damages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D1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Is there one unambiguous delivery date and place?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D2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Which events are permissible delays? How is force majeure defined? Are supplier delays included?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D3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Delay notice procedure: who, within how many days, with what schedule evidence? Time-barred?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D4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LD rate, grace period, cap and the delay after which the owner may cancel?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D5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Are LDs the owner's exclusive remedy for delay?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D6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Must the yard submit and update a programme? Is it a contract document?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Specification, approvals and site team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E1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Order of precedence between contract, specification, drawings and makers list?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E2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Drawing and sample approval periods; does silence count as approval?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E3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Access rights for owner's representative, build captain and consultants (yard, workshops, subcontractors)?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E4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How are owner comments and rejections recorded and answered?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E5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Does owner approval shift responsibility away from the yard?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Changes and variation orders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Are changes binding only in writing, signed by named persons? Who may sign, up to what value?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How are variations priced (hours, agreed rates, material margin)? Can rates be fixed in an annex?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How is the time effect calculated and shown on the schedule?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Can the yard stop work until price and time are agreed? Is there a proceed-and-settle-later route?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F5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How are rule and flag changes after signing treated?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F6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How are credit variations (deleted scope) valued?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Owner-furnished equipment (OFE)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G1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Is there a dated list of owner items with delivery condition and required documents?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G2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Who installs, integrates, commissions and warrants each item? Who owns the interfaces?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G3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Do late or defective owner items count as permissible delay? How is the delay measured?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G4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Storage, insurance and title of owner items on the yard's premises?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Trials, acceptance and delivery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H1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Who drafts and agrees the trial programme, when, and who attends?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H2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Guaranteed values (speed, range, noise and vibration in named spaces): method, tolerance, damages, rejection threshold?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H3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Definition of 'ready for delivery'; who classifies open items as minor or blocking?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H4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Retention from the final payment for items completed after delivery?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H5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Delivery documents: certificates, class and flag documents, bill of sale, manuals, as-built drawings, spares list?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Warranty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I1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Start date, length, extended guarantee on repaired items, overall limit?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I2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Claim notice procedure and deadline (including any window after the period ends)?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I3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Where are repairs done when the yacht is far from the yard? Who pays travel and transit?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I4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Are suppliers' warranties passed on, and who manages them?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I5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Exclusions, liability cap, guarantee engineer (provided? for how long?)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Termination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J1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Owner's grounds to terminate (delay, performance, insolvency, failure to proceed, total loss)?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J2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Yard's grounds to terminate (non-payment, refusal to take delivery)?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J3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Notice procedure step by step: who, how, when?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J4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After termination: money paid, hull, equipment, owner items, drawings and design rights?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J5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Termination for convenience: available? at what cost?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Disputes and governing law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4706"/>
        <w:gridCol w:w="3402"/>
        <w:gridCol w:w="964"/>
        <w:gridCol w:w="3742"/>
        <w:gridCol w:w="141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4706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Check question</w:t>
            </w:r>
          </w:p>
        </w:tc>
        <w:tc>
          <w:tcPr>
            <w:tcW w:type="dxa" w:w="340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ref / draft position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Risk H/M/L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 / action</w:t>
            </w:r>
          </w:p>
        </w:tc>
        <w:tc>
          <w:tcPr>
            <w:tcW w:type="dxa" w:w="141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K1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Governing law and seat of arbitration?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K2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Is there a technical route (class or independent expert)? Is the decision final or reviewable?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K3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Are law and forum the same in the contract, refund guarantee and any parent guarantee?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K4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Obligation to continue work during a dispute?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Part B: Findings log (Blank)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1814"/>
        <w:gridCol w:w="3175"/>
        <w:gridCol w:w="907"/>
        <w:gridCol w:w="3175"/>
        <w:gridCol w:w="2381"/>
        <w:gridCol w:w="1191"/>
        <w:gridCol w:w="1587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181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area</w:t>
            </w:r>
          </w:p>
        </w:tc>
        <w:tc>
          <w:tcPr>
            <w:tcW w:type="dxa" w:w="3175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Draft position</w:t>
            </w:r>
          </w:p>
        </w:tc>
        <w:tc>
          <w:tcPr>
            <w:tcW w:type="dxa" w:w="90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Rating</w:t>
            </w:r>
          </w:p>
        </w:tc>
        <w:tc>
          <w:tcPr>
            <w:tcW w:type="dxa" w:w="3175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</w:t>
            </w:r>
          </w:p>
        </w:tc>
        <w:tc>
          <w:tcPr>
            <w:tcW w:type="dxa" w:w="2381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Fallback</w:t>
            </w:r>
          </w:p>
        </w:tc>
        <w:tc>
          <w:tcPr>
            <w:tcW w:type="dxa" w:w="1191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587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F-01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F-02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F-03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F-04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F-05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F-06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F-07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F-08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F-09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F-10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F-11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F-12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F-13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F-14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F-15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Part C: Example (YP-48, illustrative)</w:t>
      </w:r>
    </w:p>
    <w:p>
      <w:r>
        <w:rPr>
          <w:b/>
          <w:sz w:val="19"/>
        </w:rPr>
        <w:t xml:space="preserve">Fictional example. </w:t>
      </w:r>
      <w:r>
        <w:rPr>
          <w:color w:val="64748B"/>
          <w:sz w:val="19"/>
        </w:rPr>
        <w:t>Illustrative project: Project YP-48 is fictional. Its parameters are chosen from publicly reported industry ranges so the numbers are realistic, but no real yard, owner or yacht is described.</w:t>
      </w:r>
    </w:p>
    <w:p>
      <w:r>
        <w:rPr>
          <w:color w:val="64748B"/>
          <w:sz w:val="19"/>
        </w:rPr>
        <w:t>Clause references and draft wording below are invented to illustrate typical gaps. Money in the YP-48 example is expressed as an index where the contract price = 100. Class society and flag are not chosen in the example.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1814"/>
        <w:gridCol w:w="4535"/>
        <w:gridCol w:w="964"/>
        <w:gridCol w:w="5443"/>
        <w:gridCol w:w="1474"/>
      </w:tblGrid>
      <w:tr>
        <w:trPr>
          <w:tblHeader w:val="true"/>
        </w:trPr>
        <w:tc>
          <w:tcPr>
            <w:tcW w:type="dxa" w:w="79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Ref</w:t>
            </w:r>
          </w:p>
        </w:tc>
        <w:tc>
          <w:tcPr>
            <w:tcW w:type="dxa" w:w="181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Clause area</w:t>
            </w:r>
          </w:p>
        </w:tc>
        <w:tc>
          <w:tcPr>
            <w:tcW w:type="dxa" w:w="4535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Draft position (fictional)</w:t>
            </w:r>
          </w:p>
        </w:tc>
        <w:tc>
          <w:tcPr>
            <w:tcW w:type="dxa" w:w="96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Rating</w:t>
            </w:r>
          </w:p>
        </w:tc>
        <w:tc>
          <w:tcPr>
            <w:tcW w:type="dxa" w:w="5443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Proposed change</w:t>
            </w:r>
          </w:p>
        </w:tc>
        <w:tc>
          <w:tcPr>
            <w:tcW w:type="dxa" w:w="1474"/>
            <w:shd w:val="clear" w:color="auto" w:fill="0E2A47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F-01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Title and guarantee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Refund guarantee 'in a form acceptable to the Builder's bank', payable after an arbitration award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High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Guarantee wording annexed; irrevocable and on demand; issued before the first instalment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Counsel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F-02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Title and guarantee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Guarantee expires on the contractual delivery date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High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Expiry after the latest possible cancellation date plus time to resolve a dispute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Counsel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F-03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Payments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Launch milestone defined as 'yacht in the water'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Medium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Launch defined with listed systems complete and class survey records attached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Owner's rep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F-04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Delay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Force majeure includes 'delays of suppliers and subcontractors' without limit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High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Supplier delay permissible only if the supplier itself is hit by a defined force majeure event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Counsel, PM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F-05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Delay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No obligation to keep a programme; delay notices 'as soon as practicable'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Medium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Agreed programme as annex, monthly update, notices within a fixed number of days with schedule evidence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PM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F-06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Approvals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Owner comments within a short period, silence counts as approval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Medium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Longer turnaround for interior samples; no deemed approval for finish and colour items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Owner's rep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F-07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Changes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Yard may stop affected work until a variation price is agreed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Medium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Proceed on instruction with the price settled later through the expert route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PM, Counsel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F-08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Owner's supply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Owner items 'to be delivered when required by the Builder'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Medium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Dated list of owner items as annex, linked to the programme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PM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F-09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Trials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Noise and vibration 'to superyacht standards'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High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Named spaces, limits, measurement method and tolerance in the specification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Owner's rep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F-10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Warranty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Repairs at the yard only; travel and transit at owner's cost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Medium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Repairs at the yacht's location by agreed contractors when a return to the yard is impractical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Counsel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F-11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>Disputes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All disputes to arbitration, no technical expert route</w:t>
            </w:r>
          </w:p>
        </w:tc>
        <w:tc>
          <w:tcPr>
            <w:tcW w:type="dxa" w:w="964"/>
          </w:tcPr>
          <w:p>
            <w:r/>
            <w:r>
              <w:rPr>
                <w:sz w:val="18"/>
              </w:rPr>
              <w:t>Low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Expert determination for technical disputes, with the obligation to continue work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Counsel</w:t>
            </w:r>
          </w:p>
        </w:tc>
      </w:tr>
    </w:tbl>
    <w:p/>
    <w:p>
      <w:r>
        <w:rPr>
          <w:b/>
          <w:sz w:val="19"/>
        </w:rPr>
        <w:t xml:space="preserve">Summary. </w:t>
      </w:r>
      <w:r>
        <w:rPr>
          <w:color w:val="64748B"/>
          <w:sz w:val="19"/>
        </w:rPr>
        <w:t>Result of the example review: four High findings (F-01, F-02, F-04, F-09). The owner's side would not recommend signing until these are resolved or accepted in writing by the Owner with counsel's advice.</w:t>
      </w:r>
    </w:p>
    <w:sectPr w:rsidR="00FC693F" w:rsidRPr="0006063C" w:rsidSect="00034616">
      <w:footerReference w:type="default" r:id="rId9"/>
      <w:headerReference w:type="default" r:id="rId10"/>
      <w:pgSz w:w="16838" w:h="11906" w:orient="landscape"/>
      <w:pgMar w:top="907" w:right="907" w:bottom="907" w:left="907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T5 Yacht Build Contract Review Checklist | project2-me.com | Not legal advice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</w:tblPr>
    <w:tblGrid>
      <w:gridCol w:w="7512"/>
      <w:gridCol w:w="7512"/>
    </w:tblGrid>
    <w:tr>
      <w:tc>
        <w:tcPr>
          <w:tcW w:type="dxa" w:w="7512"/>
        </w:tcPr>
        <w:p>
          <w:r>
            <w:drawing>
              <wp:inline xmlns:a="http://schemas.openxmlformats.org/drawingml/2006/main" xmlns:pic="http://schemas.openxmlformats.org/drawingml/2006/picture">
                <wp:extent cx="1525847" cy="34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2m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5847" cy="34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512"/>
        </w:tcPr>
        <w:p>
          <w:pPr>
            <w:jc w:val="right"/>
          </w:pPr>
          <w:r>
            <w:rPr>
              <w:color w:val="64748B"/>
              <w:sz w:val="16"/>
            </w:rPr>
            <w:t>TPL-SPM-T5  |  project2-me.com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2A4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E2A4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